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11D1" w14:textId="77777777" w:rsidR="007F4611" w:rsidRDefault="007F4611" w:rsidP="006D229C">
      <w:pPr>
        <w:keepNext/>
        <w:tabs>
          <w:tab w:val="left" w:pos="708"/>
        </w:tabs>
        <w:spacing w:before="120" w:after="120"/>
        <w:jc w:val="center"/>
        <w:outlineLvl w:val="0"/>
        <w:rPr>
          <w:rFonts w:eastAsia="Times New Roman" w:cs="Times New Roman"/>
          <w:b/>
          <w:caps/>
          <w:spacing w:val="20"/>
          <w:sz w:val="28"/>
          <w:szCs w:val="24"/>
        </w:rPr>
      </w:pPr>
    </w:p>
    <w:p w14:paraId="3A5A6D46" w14:textId="77777777" w:rsidR="007F4611" w:rsidRDefault="007F4611" w:rsidP="006D229C">
      <w:pPr>
        <w:keepNext/>
        <w:tabs>
          <w:tab w:val="left" w:pos="708"/>
        </w:tabs>
        <w:spacing w:before="120" w:after="120"/>
        <w:jc w:val="center"/>
        <w:outlineLvl w:val="0"/>
        <w:rPr>
          <w:rFonts w:eastAsia="Times New Roman" w:cs="Times New Roman"/>
          <w:b/>
          <w:caps/>
          <w:spacing w:val="20"/>
          <w:sz w:val="28"/>
          <w:szCs w:val="24"/>
        </w:rPr>
      </w:pPr>
    </w:p>
    <w:p w14:paraId="4DE37089" w14:textId="77777777" w:rsidR="007F4611" w:rsidRDefault="007F4611" w:rsidP="006D229C">
      <w:pPr>
        <w:keepNext/>
        <w:tabs>
          <w:tab w:val="left" w:pos="708"/>
        </w:tabs>
        <w:spacing w:before="120" w:after="120"/>
        <w:jc w:val="center"/>
        <w:outlineLvl w:val="0"/>
        <w:rPr>
          <w:rFonts w:eastAsia="Times New Roman" w:cs="Times New Roman"/>
          <w:b/>
          <w:caps/>
          <w:spacing w:val="20"/>
          <w:sz w:val="28"/>
          <w:szCs w:val="24"/>
        </w:rPr>
      </w:pPr>
    </w:p>
    <w:p w14:paraId="7466F4BC" w14:textId="3A1EE27C" w:rsidR="00015C0A" w:rsidRPr="00117C05" w:rsidRDefault="00012165" w:rsidP="006D229C">
      <w:pPr>
        <w:keepNext/>
        <w:tabs>
          <w:tab w:val="left" w:pos="708"/>
        </w:tabs>
        <w:spacing w:before="120" w:after="120"/>
        <w:jc w:val="center"/>
        <w:outlineLvl w:val="0"/>
        <w:rPr>
          <w:rFonts w:eastAsia="Times New Roman" w:cs="Times New Roman"/>
          <w:b/>
          <w:caps/>
          <w:spacing w:val="20"/>
          <w:sz w:val="28"/>
          <w:szCs w:val="24"/>
        </w:rPr>
      </w:pPr>
      <w:r>
        <w:rPr>
          <w:rFonts w:eastAsia="Times New Roman" w:cs="Times New Roman"/>
          <w:b/>
          <w:caps/>
          <w:spacing w:val="20"/>
          <w:sz w:val="28"/>
          <w:szCs w:val="24"/>
        </w:rPr>
        <w:t xml:space="preserve"> </w:t>
      </w:r>
      <w:r w:rsidR="00D84C0B" w:rsidRPr="00117C05">
        <w:rPr>
          <w:rFonts w:eastAsia="Times New Roman" w:cs="Times New Roman"/>
          <w:b/>
          <w:caps/>
          <w:spacing w:val="20"/>
          <w:sz w:val="28"/>
          <w:szCs w:val="24"/>
        </w:rPr>
        <w:t>hooldus</w:t>
      </w:r>
      <w:r w:rsidR="00232A0C" w:rsidRPr="00117C05">
        <w:rPr>
          <w:rFonts w:eastAsia="Times New Roman" w:cs="Times New Roman"/>
          <w:b/>
          <w:caps/>
          <w:spacing w:val="20"/>
          <w:sz w:val="28"/>
          <w:szCs w:val="24"/>
        </w:rPr>
        <w:t>- ja REMONT</w:t>
      </w:r>
      <w:r w:rsidR="00D84C0B" w:rsidRPr="00117C05">
        <w:rPr>
          <w:rFonts w:eastAsia="Times New Roman" w:cs="Times New Roman"/>
          <w:b/>
          <w:caps/>
          <w:spacing w:val="20"/>
          <w:sz w:val="28"/>
          <w:szCs w:val="24"/>
        </w:rPr>
        <w:t>tööde leping</w:t>
      </w:r>
      <w:r w:rsidR="004C2631" w:rsidRPr="00117C05">
        <w:rPr>
          <w:rFonts w:eastAsia="Times New Roman" w:cs="Times New Roman"/>
          <w:b/>
          <w:caps/>
          <w:spacing w:val="20"/>
          <w:sz w:val="28"/>
          <w:szCs w:val="24"/>
        </w:rPr>
        <w:t xml:space="preserve"> Nr.</w:t>
      </w:r>
      <w:r w:rsidR="003F103D">
        <w:rPr>
          <w:rFonts w:eastAsia="Times New Roman" w:cs="Times New Roman"/>
          <w:b/>
          <w:caps/>
          <w:spacing w:val="20"/>
          <w:sz w:val="28"/>
          <w:szCs w:val="24"/>
        </w:rPr>
        <w:t xml:space="preserve"> </w:t>
      </w:r>
      <w:r w:rsidR="00AC6D34">
        <w:rPr>
          <w:rFonts w:eastAsia="Times New Roman" w:cs="Times New Roman"/>
          <w:b/>
          <w:caps/>
          <w:spacing w:val="20"/>
          <w:sz w:val="28"/>
          <w:szCs w:val="24"/>
        </w:rPr>
        <w:t>16122025/2</w:t>
      </w:r>
    </w:p>
    <w:p w14:paraId="2CC7D5E5" w14:textId="77777777" w:rsidR="00015C0A" w:rsidRPr="00117C05" w:rsidRDefault="00015C0A" w:rsidP="006D229C">
      <w:pPr>
        <w:spacing w:before="120" w:after="120"/>
        <w:jc w:val="both"/>
        <w:rPr>
          <w:rFonts w:eastAsia="Times New Roman" w:cs="Times New Roman"/>
          <w:b/>
          <w:sz w:val="24"/>
          <w:szCs w:val="24"/>
        </w:rPr>
      </w:pPr>
    </w:p>
    <w:p w14:paraId="096586F0" w14:textId="44C586C5" w:rsidR="00015C0A" w:rsidRPr="00117C05" w:rsidRDefault="00015C0A" w:rsidP="006D229C">
      <w:pPr>
        <w:spacing w:before="120" w:after="120"/>
        <w:jc w:val="both"/>
        <w:rPr>
          <w:rFonts w:eastAsia="Times New Roman" w:cs="Times New Roman"/>
          <w:sz w:val="24"/>
          <w:szCs w:val="24"/>
        </w:rPr>
      </w:pPr>
      <w:r w:rsidRPr="00117C05">
        <w:rPr>
          <w:rFonts w:eastAsia="Times New Roman" w:cs="Times New Roman"/>
          <w:sz w:val="24"/>
          <w:szCs w:val="24"/>
        </w:rPr>
        <w:t xml:space="preserve">Käesolev </w:t>
      </w:r>
      <w:r w:rsidR="00D84C0B" w:rsidRPr="00117C05">
        <w:rPr>
          <w:rFonts w:eastAsia="Times New Roman" w:cs="Times New Roman"/>
          <w:sz w:val="24"/>
          <w:szCs w:val="24"/>
        </w:rPr>
        <w:t>hooldus</w:t>
      </w:r>
      <w:r w:rsidR="00232A0C" w:rsidRPr="00117C05">
        <w:rPr>
          <w:rFonts w:eastAsia="Times New Roman" w:cs="Times New Roman"/>
          <w:sz w:val="24"/>
          <w:szCs w:val="24"/>
        </w:rPr>
        <w:t>- ja remont</w:t>
      </w:r>
      <w:r w:rsidR="00D84C0B" w:rsidRPr="00117C05">
        <w:rPr>
          <w:rFonts w:eastAsia="Times New Roman" w:cs="Times New Roman"/>
          <w:sz w:val="24"/>
          <w:szCs w:val="24"/>
        </w:rPr>
        <w:t>tööde leping</w:t>
      </w:r>
      <w:r w:rsidRPr="00117C05">
        <w:rPr>
          <w:rFonts w:eastAsia="Times New Roman" w:cs="Times New Roman"/>
          <w:sz w:val="24"/>
          <w:szCs w:val="24"/>
        </w:rPr>
        <w:t xml:space="preserve"> (edaspidi </w:t>
      </w:r>
      <w:r w:rsidRPr="00117C05">
        <w:rPr>
          <w:rFonts w:eastAsia="Times New Roman" w:cs="Times New Roman"/>
          <w:b/>
          <w:sz w:val="24"/>
          <w:szCs w:val="24"/>
        </w:rPr>
        <w:t>Leping</w:t>
      </w:r>
      <w:r w:rsidRPr="00117C05">
        <w:rPr>
          <w:rFonts w:eastAsia="Times New Roman" w:cs="Times New Roman"/>
          <w:sz w:val="24"/>
          <w:szCs w:val="24"/>
        </w:rPr>
        <w:t>)</w:t>
      </w:r>
      <w:r w:rsidR="00375F46">
        <w:rPr>
          <w:rFonts w:eastAsia="Times New Roman" w:cs="Times New Roman"/>
          <w:sz w:val="24"/>
          <w:szCs w:val="24"/>
        </w:rPr>
        <w:t xml:space="preserve"> </w:t>
      </w:r>
      <w:r w:rsidRPr="00117C05">
        <w:rPr>
          <w:rFonts w:eastAsia="Times New Roman" w:cs="Times New Roman"/>
          <w:sz w:val="24"/>
          <w:szCs w:val="24"/>
        </w:rPr>
        <w:t>on sõlmitud</w:t>
      </w:r>
      <w:r w:rsidR="00375F46">
        <w:rPr>
          <w:rFonts w:eastAsia="Times New Roman" w:cs="Times New Roman"/>
          <w:sz w:val="24"/>
          <w:szCs w:val="24"/>
        </w:rPr>
        <w:t xml:space="preserve"> </w:t>
      </w:r>
      <w:r w:rsidR="003F440F">
        <w:rPr>
          <w:rFonts w:eastAsia="Times New Roman" w:cs="Times New Roman"/>
          <w:sz w:val="24"/>
          <w:szCs w:val="24"/>
        </w:rPr>
        <w:t>30</w:t>
      </w:r>
      <w:r w:rsidR="00375F46">
        <w:rPr>
          <w:rFonts w:eastAsia="Times New Roman" w:cs="Times New Roman"/>
          <w:sz w:val="24"/>
          <w:szCs w:val="24"/>
        </w:rPr>
        <w:t>.01.2026.a</w:t>
      </w:r>
      <w:r w:rsidRPr="00790869">
        <w:rPr>
          <w:rFonts w:eastAsia="Times New Roman" w:cs="Times New Roman"/>
          <w:sz w:val="24"/>
          <w:szCs w:val="24"/>
        </w:rPr>
        <w:t>,</w:t>
      </w:r>
      <w:r w:rsidRPr="00117C05">
        <w:rPr>
          <w:rFonts w:eastAsia="Times New Roman" w:cs="Times New Roman"/>
          <w:sz w:val="24"/>
          <w:szCs w:val="24"/>
        </w:rPr>
        <w:t xml:space="preserve"> Tallinnas järgmiste osapoolte (edaspidi eraldiseisvalt </w:t>
      </w:r>
      <w:r w:rsidRPr="00117C05">
        <w:rPr>
          <w:rFonts w:eastAsia="Times New Roman" w:cs="Times New Roman"/>
          <w:b/>
          <w:sz w:val="24"/>
          <w:szCs w:val="24"/>
        </w:rPr>
        <w:t>Pool</w:t>
      </w:r>
      <w:r w:rsidRPr="00117C05">
        <w:rPr>
          <w:rFonts w:eastAsia="Times New Roman" w:cs="Times New Roman"/>
          <w:sz w:val="24"/>
          <w:szCs w:val="24"/>
        </w:rPr>
        <w:t xml:space="preserve"> või ühiselt </w:t>
      </w:r>
      <w:r w:rsidRPr="00117C05">
        <w:rPr>
          <w:rFonts w:eastAsia="Times New Roman" w:cs="Times New Roman"/>
          <w:b/>
          <w:sz w:val="24"/>
          <w:szCs w:val="24"/>
        </w:rPr>
        <w:t>Pooled</w:t>
      </w:r>
      <w:r w:rsidRPr="00117C05">
        <w:rPr>
          <w:rFonts w:eastAsia="Times New Roman" w:cs="Times New Roman"/>
          <w:sz w:val="24"/>
          <w:szCs w:val="24"/>
        </w:rPr>
        <w:t>) vahel:</w:t>
      </w:r>
    </w:p>
    <w:p w14:paraId="16F66960" w14:textId="73A8A9EC" w:rsidR="00015C0A" w:rsidRPr="00117C05" w:rsidRDefault="00015C0A" w:rsidP="006D229C">
      <w:pPr>
        <w:spacing w:before="120" w:after="120"/>
        <w:ind w:left="720" w:hanging="720"/>
        <w:jc w:val="both"/>
        <w:rPr>
          <w:rFonts w:eastAsia="Times New Roman" w:cs="Times New Roman"/>
          <w:sz w:val="24"/>
          <w:szCs w:val="24"/>
        </w:rPr>
      </w:pPr>
      <w:r w:rsidRPr="00117C05">
        <w:rPr>
          <w:rFonts w:eastAsia="Times New Roman" w:cs="Times New Roman"/>
          <w:b/>
          <w:sz w:val="24"/>
          <w:szCs w:val="24"/>
        </w:rPr>
        <w:t>(1)</w:t>
      </w:r>
      <w:r w:rsidRPr="00117C05">
        <w:rPr>
          <w:rFonts w:eastAsia="Times New Roman" w:cs="Times New Roman"/>
          <w:b/>
          <w:sz w:val="24"/>
          <w:szCs w:val="24"/>
        </w:rPr>
        <w:tab/>
      </w:r>
      <w:r w:rsidR="00FD5CB1">
        <w:rPr>
          <w:rFonts w:eastAsia="Times New Roman" w:cs="Times New Roman"/>
          <w:b/>
          <w:sz w:val="24"/>
          <w:szCs w:val="24"/>
        </w:rPr>
        <w:t>BMG Energy OÜ</w:t>
      </w:r>
      <w:r w:rsidRPr="00117C05">
        <w:rPr>
          <w:rFonts w:eastAsia="Times New Roman" w:cs="Times New Roman"/>
          <w:sz w:val="24"/>
          <w:szCs w:val="24"/>
        </w:rPr>
        <w:t xml:space="preserve">, registrikood: </w:t>
      </w:r>
      <w:r w:rsidR="00FD5CB1">
        <w:rPr>
          <w:rFonts w:eastAsia="Times New Roman" w:cs="Times New Roman"/>
          <w:sz w:val="24"/>
          <w:szCs w:val="24"/>
        </w:rPr>
        <w:t>16388644</w:t>
      </w:r>
      <w:r w:rsidRPr="00117C05">
        <w:rPr>
          <w:rFonts w:eastAsia="Times New Roman" w:cs="Times New Roman"/>
          <w:sz w:val="24"/>
          <w:szCs w:val="24"/>
        </w:rPr>
        <w:t>, aadress: Paljassaare tee 1</w:t>
      </w:r>
      <w:r w:rsidR="00FD5CB1">
        <w:rPr>
          <w:rFonts w:eastAsia="Times New Roman" w:cs="Times New Roman"/>
          <w:sz w:val="24"/>
          <w:szCs w:val="24"/>
        </w:rPr>
        <w:t>6</w:t>
      </w:r>
      <w:r w:rsidRPr="00117C05">
        <w:rPr>
          <w:rFonts w:eastAsia="Times New Roman" w:cs="Times New Roman"/>
          <w:sz w:val="24"/>
          <w:szCs w:val="24"/>
        </w:rPr>
        <w:t xml:space="preserve">, Tallinn 10313 (edaspidi </w:t>
      </w:r>
      <w:r w:rsidR="00073F63" w:rsidRPr="00117C05">
        <w:rPr>
          <w:rFonts w:eastAsia="Times New Roman" w:cs="Times New Roman"/>
          <w:b/>
          <w:sz w:val="24"/>
          <w:szCs w:val="24"/>
        </w:rPr>
        <w:t>Töövõtja</w:t>
      </w:r>
      <w:r w:rsidRPr="00117C05">
        <w:rPr>
          <w:rFonts w:eastAsia="Times New Roman" w:cs="Times New Roman"/>
          <w:sz w:val="24"/>
          <w:szCs w:val="24"/>
        </w:rPr>
        <w:t>), mida esindab juhatuse liige</w:t>
      </w:r>
      <w:r w:rsidR="00FD5CB1">
        <w:rPr>
          <w:rFonts w:eastAsia="Times New Roman" w:cs="Times New Roman"/>
          <w:sz w:val="24"/>
          <w:szCs w:val="24"/>
        </w:rPr>
        <w:t xml:space="preserve"> Kalmer Kroonberg</w:t>
      </w:r>
      <w:r w:rsidRPr="00117C05">
        <w:rPr>
          <w:rFonts w:eastAsia="Times New Roman" w:cs="Times New Roman"/>
          <w:sz w:val="24"/>
          <w:szCs w:val="24"/>
        </w:rPr>
        <w:t>;</w:t>
      </w:r>
    </w:p>
    <w:p w14:paraId="06354698" w14:textId="77777777" w:rsidR="00015C0A" w:rsidRPr="00117C05" w:rsidRDefault="00015C0A" w:rsidP="006D229C">
      <w:pPr>
        <w:spacing w:before="120" w:after="120"/>
        <w:ind w:left="720" w:hanging="720"/>
        <w:jc w:val="both"/>
        <w:rPr>
          <w:rFonts w:eastAsia="Times New Roman" w:cs="Times New Roman"/>
          <w:sz w:val="24"/>
          <w:szCs w:val="24"/>
        </w:rPr>
      </w:pPr>
      <w:r w:rsidRPr="00117C05">
        <w:rPr>
          <w:rFonts w:eastAsia="Times New Roman" w:cs="Times New Roman"/>
          <w:b/>
          <w:sz w:val="24"/>
          <w:szCs w:val="24"/>
        </w:rPr>
        <w:tab/>
      </w:r>
      <w:r w:rsidRPr="00117C05">
        <w:rPr>
          <w:rFonts w:eastAsia="Times New Roman" w:cs="Times New Roman"/>
          <w:sz w:val="24"/>
          <w:szCs w:val="24"/>
        </w:rPr>
        <w:t>ja</w:t>
      </w:r>
    </w:p>
    <w:p w14:paraId="44E1E9F8" w14:textId="3F596801" w:rsidR="00015C0A" w:rsidRPr="001E6A13" w:rsidRDefault="00015C0A" w:rsidP="001E6A13">
      <w:pPr>
        <w:spacing w:before="120" w:after="120"/>
        <w:ind w:left="720" w:hanging="720"/>
        <w:jc w:val="both"/>
        <w:rPr>
          <w:rFonts w:eastAsia="Times New Roman" w:cs="Times New Roman"/>
          <w:b/>
          <w:sz w:val="24"/>
          <w:szCs w:val="24"/>
          <w:highlight w:val="yellow"/>
          <w:lang w:eastAsia="et-EE"/>
        </w:rPr>
      </w:pPr>
      <w:r w:rsidRPr="00117C05">
        <w:rPr>
          <w:rFonts w:eastAsia="Times New Roman" w:cs="Times New Roman"/>
          <w:b/>
          <w:sz w:val="24"/>
          <w:szCs w:val="24"/>
        </w:rPr>
        <w:t>(2)</w:t>
      </w:r>
      <w:r w:rsidRPr="00117C05">
        <w:rPr>
          <w:rFonts w:eastAsia="Times New Roman" w:cs="Times New Roman"/>
          <w:b/>
          <w:sz w:val="24"/>
          <w:szCs w:val="24"/>
        </w:rPr>
        <w:tab/>
      </w:r>
      <w:r w:rsidR="001E6A13" w:rsidRPr="001E6A13">
        <w:rPr>
          <w:rFonts w:eastAsia="Times New Roman" w:cs="Times New Roman"/>
          <w:b/>
          <w:sz w:val="24"/>
          <w:szCs w:val="24"/>
          <w:lang w:eastAsia="et-EE"/>
        </w:rPr>
        <w:t>Tarbijakaitse ja Tehnilise Järelevalve Amet</w:t>
      </w:r>
      <w:r w:rsidR="00655F9F" w:rsidRPr="001E6A13">
        <w:rPr>
          <w:rFonts w:eastAsia="Times New Roman" w:cs="Times New Roman"/>
          <w:b/>
          <w:sz w:val="24"/>
          <w:szCs w:val="24"/>
          <w:lang w:eastAsia="et-EE"/>
        </w:rPr>
        <w:t>,</w:t>
      </w:r>
      <w:r w:rsidRPr="001E6A13">
        <w:rPr>
          <w:rFonts w:eastAsia="Times New Roman" w:cs="Times New Roman"/>
          <w:sz w:val="24"/>
          <w:szCs w:val="24"/>
        </w:rPr>
        <w:t xml:space="preserve"> registrikood:</w:t>
      </w:r>
      <w:r w:rsidR="001E6A13" w:rsidRPr="001E6A13">
        <w:t xml:space="preserve"> </w:t>
      </w:r>
      <w:r w:rsidR="001E6A13" w:rsidRPr="001E6A13">
        <w:rPr>
          <w:rFonts w:eastAsia="Times New Roman" w:cs="Times New Roman"/>
          <w:sz w:val="24"/>
          <w:szCs w:val="24"/>
        </w:rPr>
        <w:t>70003218</w:t>
      </w:r>
      <w:r w:rsidRPr="001E6A13">
        <w:rPr>
          <w:rFonts w:eastAsia="Times New Roman" w:cs="Times New Roman"/>
          <w:sz w:val="24"/>
          <w:szCs w:val="24"/>
        </w:rPr>
        <w:t xml:space="preserve">, </w:t>
      </w:r>
      <w:r w:rsidRPr="0050591C">
        <w:rPr>
          <w:rFonts w:eastAsia="Times New Roman" w:cs="Times New Roman"/>
          <w:sz w:val="24"/>
          <w:szCs w:val="24"/>
        </w:rPr>
        <w:t xml:space="preserve">aadress: </w:t>
      </w:r>
      <w:r w:rsidR="0050591C">
        <w:rPr>
          <w:rFonts w:eastAsia="Times New Roman" w:cs="Times New Roman"/>
          <w:sz w:val="24"/>
          <w:szCs w:val="24"/>
        </w:rPr>
        <w:t xml:space="preserve">Endla tn 10a, 10122 </w:t>
      </w:r>
      <w:r w:rsidR="0050591C" w:rsidRPr="0050591C">
        <w:rPr>
          <w:rFonts w:eastAsia="Times New Roman" w:cs="Times New Roman"/>
          <w:sz w:val="24"/>
          <w:szCs w:val="24"/>
        </w:rPr>
        <w:t>Tallinn</w:t>
      </w:r>
      <w:r w:rsidR="00DA55FE" w:rsidRPr="0050591C">
        <w:rPr>
          <w:rFonts w:eastAsia="Times New Roman" w:cs="Times New Roman"/>
          <w:sz w:val="24"/>
          <w:szCs w:val="24"/>
        </w:rPr>
        <w:t xml:space="preserve"> </w:t>
      </w:r>
      <w:r w:rsidRPr="0050591C">
        <w:rPr>
          <w:rFonts w:eastAsia="Times New Roman" w:cs="Times New Roman"/>
          <w:sz w:val="24"/>
          <w:szCs w:val="24"/>
        </w:rPr>
        <w:t xml:space="preserve">(edaspidi </w:t>
      </w:r>
      <w:r w:rsidR="00073F63" w:rsidRPr="0050591C">
        <w:rPr>
          <w:rFonts w:eastAsia="Times New Roman" w:cs="Times New Roman"/>
          <w:b/>
          <w:sz w:val="24"/>
          <w:szCs w:val="24"/>
        </w:rPr>
        <w:t>Tellija</w:t>
      </w:r>
      <w:r w:rsidRPr="0050591C">
        <w:rPr>
          <w:rFonts w:eastAsia="Times New Roman" w:cs="Times New Roman"/>
          <w:sz w:val="24"/>
          <w:szCs w:val="24"/>
        </w:rPr>
        <w:t xml:space="preserve">), </w:t>
      </w:r>
      <w:r w:rsidRPr="00690473">
        <w:rPr>
          <w:rFonts w:eastAsia="Times New Roman" w:cs="Times New Roman"/>
          <w:sz w:val="24"/>
          <w:szCs w:val="24"/>
        </w:rPr>
        <w:t>mida esindab</w:t>
      </w:r>
      <w:r w:rsidR="00E86075">
        <w:rPr>
          <w:rFonts w:eastAsia="Times New Roman" w:cs="Times New Roman"/>
          <w:sz w:val="24"/>
          <w:szCs w:val="24"/>
        </w:rPr>
        <w:t xml:space="preserve"> </w:t>
      </w:r>
      <w:bookmarkStart w:id="0" w:name="_Hlk219464417"/>
      <w:r w:rsidR="00E86075">
        <w:t>peadirektor Kristi Talving, põhikirja alusel</w:t>
      </w:r>
      <w:r w:rsidR="00E86075">
        <w:rPr>
          <w:rFonts w:eastAsia="Times New Roman" w:cs="Times New Roman"/>
          <w:sz w:val="24"/>
          <w:szCs w:val="24"/>
        </w:rPr>
        <w:t>.</w:t>
      </w:r>
    </w:p>
    <w:bookmarkEnd w:id="0"/>
    <w:p w14:paraId="29D9A424" w14:textId="77777777" w:rsidR="00DD3AAE" w:rsidRPr="00117C05" w:rsidRDefault="00DD3AAE" w:rsidP="006D229C">
      <w:pPr>
        <w:pStyle w:val="1stlevelheading"/>
        <w:spacing w:before="120" w:after="120"/>
        <w:rPr>
          <w:lang w:val="et-EE"/>
        </w:rPr>
      </w:pPr>
      <w:r w:rsidRPr="00117C05">
        <w:rPr>
          <w:lang w:val="et-EE"/>
        </w:rPr>
        <w:t>Lepingu ese</w:t>
      </w:r>
    </w:p>
    <w:p w14:paraId="1D7AB2C6" w14:textId="4F6E4521" w:rsidR="00DD3AAE" w:rsidRPr="00117C05" w:rsidRDefault="004B2E77" w:rsidP="006D229C">
      <w:pPr>
        <w:pStyle w:val="2ndlevelprovision"/>
      </w:pPr>
      <w:r w:rsidRPr="00117C05">
        <w:t>Töövõtja kohustub</w:t>
      </w:r>
      <w:r w:rsidR="00E67209" w:rsidRPr="00117C05">
        <w:t xml:space="preserve"> </w:t>
      </w:r>
      <w:r w:rsidR="00073F63" w:rsidRPr="00117C05">
        <w:t>teosta</w:t>
      </w:r>
      <w:r w:rsidRPr="00117C05">
        <w:t>m</w:t>
      </w:r>
      <w:r w:rsidR="00073F63" w:rsidRPr="00117C05">
        <w:t xml:space="preserve">a </w:t>
      </w:r>
      <w:r w:rsidR="00A80E9A" w:rsidRPr="00117C05">
        <w:t xml:space="preserve">Tellija </w:t>
      </w:r>
      <w:r w:rsidR="00073F63" w:rsidRPr="00117C05">
        <w:t xml:space="preserve">generaatorseadmete (edaspidi </w:t>
      </w:r>
      <w:r w:rsidR="00073F63" w:rsidRPr="00117C05">
        <w:rPr>
          <w:b/>
        </w:rPr>
        <w:t>Seadmed</w:t>
      </w:r>
      <w:r w:rsidR="00073F63" w:rsidRPr="00117C05">
        <w:t>)</w:t>
      </w:r>
      <w:r w:rsidRPr="00117C05">
        <w:t xml:space="preserve"> </w:t>
      </w:r>
      <w:r w:rsidR="00232A0C" w:rsidRPr="00117C05">
        <w:t xml:space="preserve">korralist </w:t>
      </w:r>
      <w:r w:rsidRPr="00117C05">
        <w:t>hooldust.</w:t>
      </w:r>
      <w:r w:rsidR="00E67209" w:rsidRPr="00117C05">
        <w:t xml:space="preserve"> </w:t>
      </w:r>
      <w:r w:rsidR="00DD15EA" w:rsidRPr="00117C05">
        <w:t xml:space="preserve">Tellija soovil ja Poolte </w:t>
      </w:r>
      <w:r w:rsidR="00C21820" w:rsidRPr="00117C05">
        <w:t xml:space="preserve">eraldiseisva </w:t>
      </w:r>
      <w:r w:rsidR="00DD15EA" w:rsidRPr="00117C05">
        <w:t>kokkuleppe</w:t>
      </w:r>
      <w:r w:rsidR="00C21820" w:rsidRPr="00117C05">
        <w:t xml:space="preserve"> alusel</w:t>
      </w:r>
      <w:r w:rsidR="00DD15EA" w:rsidRPr="00117C05">
        <w:t xml:space="preserve"> teostab Töövõtja ka Seadmete erakorralisi remonttöid.</w:t>
      </w:r>
    </w:p>
    <w:p w14:paraId="07292A87" w14:textId="65FF191A" w:rsidR="00A70EA1" w:rsidRPr="00117C05" w:rsidRDefault="004B2E77" w:rsidP="006D229C">
      <w:pPr>
        <w:pStyle w:val="2ndlevelprovision"/>
      </w:pPr>
      <w:r w:rsidRPr="00117C05">
        <w:t xml:space="preserve">Tellija </w:t>
      </w:r>
      <w:r w:rsidR="00104925" w:rsidRPr="00117C05">
        <w:t xml:space="preserve">kohustub </w:t>
      </w:r>
      <w:r w:rsidR="00D96432" w:rsidRPr="00117C05">
        <w:t xml:space="preserve">võimaldama Seadmete </w:t>
      </w:r>
      <w:r w:rsidR="00232A0C" w:rsidRPr="00117C05">
        <w:t xml:space="preserve">korralise </w:t>
      </w:r>
      <w:r w:rsidR="00D96432" w:rsidRPr="00117C05">
        <w:t>hoolduse</w:t>
      </w:r>
      <w:r w:rsidR="000C444F" w:rsidRPr="00117C05">
        <w:t xml:space="preserve"> ja </w:t>
      </w:r>
      <w:r w:rsidR="00A92A76" w:rsidRPr="00117C05">
        <w:t xml:space="preserve">sellekohase kokkuleppe korral ka </w:t>
      </w:r>
      <w:r w:rsidR="000C444F" w:rsidRPr="00117C05">
        <w:t>erakorraliste remonttööde</w:t>
      </w:r>
      <w:r w:rsidR="00D96432" w:rsidRPr="00117C05">
        <w:t xml:space="preserve"> teostamist Töövõtja poolt ning tasuma </w:t>
      </w:r>
      <w:r w:rsidR="007E5FA9" w:rsidRPr="00117C05">
        <w:t>tööde teostamise</w:t>
      </w:r>
      <w:r w:rsidR="00D96432" w:rsidRPr="00117C05">
        <w:t xml:space="preserve"> eest </w:t>
      </w:r>
      <w:r w:rsidR="005538D3" w:rsidRPr="00117C05">
        <w:t>kokku lepitud tasu vastavalt</w:t>
      </w:r>
      <w:r w:rsidR="00104925" w:rsidRPr="00117C05">
        <w:t xml:space="preserve"> Lepingus sätestatud maksetingimustele.</w:t>
      </w:r>
    </w:p>
    <w:p w14:paraId="5151334A" w14:textId="77777777" w:rsidR="004B2E77" w:rsidRPr="00117C05" w:rsidRDefault="00176069" w:rsidP="006D229C">
      <w:pPr>
        <w:pStyle w:val="1stlevelheading"/>
        <w:spacing w:before="120" w:after="120"/>
        <w:rPr>
          <w:lang w:val="et-EE"/>
        </w:rPr>
      </w:pPr>
      <w:r w:rsidRPr="00117C05">
        <w:rPr>
          <w:lang w:val="et-EE"/>
        </w:rPr>
        <w:t>Korralised hooldustööd</w:t>
      </w:r>
    </w:p>
    <w:p w14:paraId="33298B34" w14:textId="2CDA14B6" w:rsidR="00920158" w:rsidRPr="00117C05" w:rsidRDefault="00920158" w:rsidP="006D229C">
      <w:pPr>
        <w:pStyle w:val="2ndlevelprovision"/>
      </w:pPr>
      <w:r w:rsidRPr="00117C05">
        <w:t xml:space="preserve">Korralised hooldustööd on Töövõtja poolt Seadmetele nende tootja tehase poolt kehtestatud </w:t>
      </w:r>
      <w:r w:rsidR="00967BD1" w:rsidRPr="00117C05">
        <w:t>ning</w:t>
      </w:r>
      <w:r w:rsidR="003F0073" w:rsidRPr="00117C05">
        <w:t xml:space="preserve"> Poolte vahel kokku lepitud </w:t>
      </w:r>
      <w:r w:rsidR="00967BD1" w:rsidRPr="00117C05">
        <w:t xml:space="preserve">tingimustel ja </w:t>
      </w:r>
      <w:r w:rsidRPr="00117C05">
        <w:t xml:space="preserve">tähtaegadel teostatavad tööd tagamaks Seadmete korrasoleku ja töötamise nõutavatel parameetritel. </w:t>
      </w:r>
    </w:p>
    <w:p w14:paraId="5BCE2441" w14:textId="77777777" w:rsidR="002F576A" w:rsidRPr="00117C05" w:rsidRDefault="002F576A" w:rsidP="006D229C">
      <w:pPr>
        <w:pStyle w:val="2ndlevelprovision"/>
      </w:pPr>
      <w:r w:rsidRPr="00117C05">
        <w:t>Korraliste hooldustööde objektiks olevate Seadmete loetelu</w:t>
      </w:r>
      <w:r w:rsidR="00C378E2" w:rsidRPr="00117C05">
        <w:t>, Seadmete asukoht</w:t>
      </w:r>
      <w:r w:rsidR="001214D1" w:rsidRPr="00117C05">
        <w:t xml:space="preserve">, </w:t>
      </w:r>
      <w:r w:rsidR="002B048C" w:rsidRPr="00117C05">
        <w:t xml:space="preserve">Lepinguga hõlmatud </w:t>
      </w:r>
      <w:r w:rsidRPr="00117C05">
        <w:t>hooldustööde kirjeldus, tööde teostamise</w:t>
      </w:r>
      <w:r w:rsidR="002B048C" w:rsidRPr="00117C05">
        <w:t xml:space="preserve"> hinnanguline</w:t>
      </w:r>
      <w:r w:rsidRPr="00117C05">
        <w:t xml:space="preserve"> ajagraafik ja </w:t>
      </w:r>
      <w:r w:rsidR="00786CD9" w:rsidRPr="00117C05">
        <w:t xml:space="preserve">arvestuslik </w:t>
      </w:r>
      <w:r w:rsidRPr="00117C05">
        <w:t>maksumus</w:t>
      </w:r>
      <w:r w:rsidR="00786CD9" w:rsidRPr="00117C05">
        <w:t xml:space="preserve"> (nn mittesiduv eelarve)</w:t>
      </w:r>
      <w:r w:rsidRPr="00117C05">
        <w:t xml:space="preserve"> </w:t>
      </w:r>
      <w:r w:rsidR="00A80E9A" w:rsidRPr="00117C05">
        <w:t>lepitakse kokku</w:t>
      </w:r>
      <w:r w:rsidRPr="00117C05">
        <w:t xml:space="preserve"> käesoleva Lepingu lahutamatuks osaks olevas lisas 1 (edaspidi </w:t>
      </w:r>
      <w:r w:rsidRPr="00117C05">
        <w:rPr>
          <w:b/>
        </w:rPr>
        <w:t>Lisa 1</w:t>
      </w:r>
      <w:r w:rsidRPr="00117C05">
        <w:t>).</w:t>
      </w:r>
    </w:p>
    <w:p w14:paraId="0E51ADB4" w14:textId="67674075" w:rsidR="00CD0D33" w:rsidRPr="00117C05" w:rsidRDefault="002B048C" w:rsidP="006D229C">
      <w:pPr>
        <w:pStyle w:val="2ndlevelprovision"/>
      </w:pPr>
      <w:r w:rsidRPr="00117C05">
        <w:t>Võttes arvesse</w:t>
      </w:r>
      <w:r w:rsidR="00471066" w:rsidRPr="00117C05">
        <w:t xml:space="preserve"> </w:t>
      </w:r>
      <w:r w:rsidRPr="00117C05">
        <w:t xml:space="preserve">Seadmete tootja tehase poolt kehtestatud nõudeid ning </w:t>
      </w:r>
      <w:r w:rsidR="00D74BEB" w:rsidRPr="00117C05">
        <w:t xml:space="preserve">lähtudes </w:t>
      </w:r>
      <w:r w:rsidR="00471066" w:rsidRPr="00117C05">
        <w:t xml:space="preserve">Lisas 1 </w:t>
      </w:r>
      <w:r w:rsidR="009919FF" w:rsidRPr="00117C05">
        <w:t>sätestatu</w:t>
      </w:r>
      <w:r w:rsidR="00D324E4" w:rsidRPr="00117C05">
        <w:t>s</w:t>
      </w:r>
      <w:r w:rsidR="009919FF" w:rsidRPr="00117C05">
        <w:t>t</w:t>
      </w:r>
      <w:r w:rsidR="00471066" w:rsidRPr="00117C05">
        <w:t xml:space="preserve">, </w:t>
      </w:r>
      <w:r w:rsidR="00F34B58" w:rsidRPr="00117C05">
        <w:t>edastab</w:t>
      </w:r>
      <w:r w:rsidR="00471066" w:rsidRPr="00117C05">
        <w:t xml:space="preserve"> Töövõtja Tellija</w:t>
      </w:r>
      <w:r w:rsidR="00F34B58" w:rsidRPr="00117C05">
        <w:t>le</w:t>
      </w:r>
      <w:r w:rsidR="00471066" w:rsidRPr="00117C05">
        <w:t xml:space="preserve"> </w:t>
      </w:r>
      <w:r w:rsidR="00227351" w:rsidRPr="00117C05">
        <w:t>3 (kolme) tööpäevase etteteatamis</w:t>
      </w:r>
      <w:r w:rsidR="00601CA9">
        <w:t xml:space="preserve"> </w:t>
      </w:r>
      <w:r w:rsidR="00227351" w:rsidRPr="00117C05">
        <w:t xml:space="preserve">tähtajaga ettepaneku </w:t>
      </w:r>
      <w:r w:rsidR="00AF19E7" w:rsidRPr="00117C05">
        <w:t xml:space="preserve">asjakohaste </w:t>
      </w:r>
      <w:r w:rsidR="00227351" w:rsidRPr="00117C05">
        <w:t>hooldustööde teostamiseks</w:t>
      </w:r>
      <w:r w:rsidR="00DA3E20" w:rsidRPr="00117C05">
        <w:t xml:space="preserve"> täpsustatud kuupäeval ja kellaajal</w:t>
      </w:r>
      <w:r w:rsidR="00227351" w:rsidRPr="00117C05">
        <w:t>.</w:t>
      </w:r>
    </w:p>
    <w:p w14:paraId="6E818EEE" w14:textId="77777777" w:rsidR="00471066" w:rsidRPr="00117C05" w:rsidRDefault="00227351" w:rsidP="006D229C">
      <w:pPr>
        <w:pStyle w:val="2ndlevelprovision"/>
      </w:pPr>
      <w:r w:rsidRPr="00117C05">
        <w:t xml:space="preserve">Tellija </w:t>
      </w:r>
      <w:r w:rsidR="00536AAE" w:rsidRPr="00117C05">
        <w:t xml:space="preserve">edastab Töövõtjale kinnituse </w:t>
      </w:r>
      <w:r w:rsidR="00AF19E7" w:rsidRPr="00117C05">
        <w:t>hooldus</w:t>
      </w:r>
      <w:r w:rsidR="00536AAE" w:rsidRPr="00117C05">
        <w:t>tööde</w:t>
      </w:r>
      <w:r w:rsidR="00AF19E7" w:rsidRPr="00117C05">
        <w:t xml:space="preserve"> ja nende </w:t>
      </w:r>
      <w:r w:rsidR="00536AAE" w:rsidRPr="00117C05">
        <w:t xml:space="preserve">teostamise aja kooskõlastamise kohta viivitamatult. Kui Töövõtja poolt pakutud aeg Tellijale ei sobi, teeb Tellija </w:t>
      </w:r>
      <w:r w:rsidR="00F238F2" w:rsidRPr="00117C05">
        <w:t>tööde teostamise</w:t>
      </w:r>
      <w:r w:rsidR="00EC0A62" w:rsidRPr="00117C05">
        <w:t xml:space="preserve"> aja osas </w:t>
      </w:r>
      <w:r w:rsidR="008E7152" w:rsidRPr="00117C05">
        <w:t xml:space="preserve">viivitamatult </w:t>
      </w:r>
      <w:r w:rsidR="00F238F2" w:rsidRPr="00117C05">
        <w:t>omapoolse ettepaneku.</w:t>
      </w:r>
      <w:r w:rsidRPr="00117C05">
        <w:t xml:space="preserve"> </w:t>
      </w:r>
      <w:r w:rsidR="00287B08" w:rsidRPr="00117C05">
        <w:t xml:space="preserve"> </w:t>
      </w:r>
    </w:p>
    <w:p w14:paraId="0F459B07" w14:textId="77777777" w:rsidR="00176069" w:rsidRPr="00117C05" w:rsidRDefault="00176069" w:rsidP="006D229C">
      <w:pPr>
        <w:pStyle w:val="1stlevelheading"/>
        <w:spacing w:before="120" w:after="120"/>
        <w:rPr>
          <w:lang w:val="et-EE"/>
        </w:rPr>
      </w:pPr>
      <w:bookmarkStart w:id="1" w:name="_Ref1481037"/>
      <w:r w:rsidRPr="00117C05">
        <w:rPr>
          <w:lang w:val="et-EE"/>
        </w:rPr>
        <w:t>Erakorralised remonditööd</w:t>
      </w:r>
      <w:bookmarkEnd w:id="1"/>
    </w:p>
    <w:p w14:paraId="0ED76BE3" w14:textId="5492F8BB" w:rsidR="00BB4A22" w:rsidRPr="00117C05" w:rsidRDefault="009666EC" w:rsidP="00D93EE6">
      <w:pPr>
        <w:pStyle w:val="2ndlevelprovision"/>
      </w:pPr>
      <w:r w:rsidRPr="00117C05">
        <w:t>Kui korraliste hooldustööde käigus selgub</w:t>
      </w:r>
      <w:r w:rsidR="00D22039" w:rsidRPr="00117C05">
        <w:t>,</w:t>
      </w:r>
      <w:r w:rsidRPr="00117C05">
        <w:t xml:space="preserve"> </w:t>
      </w:r>
      <w:r w:rsidR="00D22039" w:rsidRPr="00117C05">
        <w:t>et Seadmed vajavad Lepinguga hõlmatud korraliste hooldustööde alla mittemahtuvaid remonttöid</w:t>
      </w:r>
      <w:r w:rsidR="00E05F2C" w:rsidRPr="00117C05">
        <w:t xml:space="preserve"> (</w:t>
      </w:r>
      <w:r w:rsidR="009358FB" w:rsidRPr="00117C05">
        <w:t xml:space="preserve">eelkõige töid </w:t>
      </w:r>
      <w:r w:rsidR="00E05F2C" w:rsidRPr="00117C05">
        <w:t>Seadmete remontimiseks, üm</w:t>
      </w:r>
      <w:r w:rsidR="009358FB" w:rsidRPr="00117C05">
        <w:t>bervahetamiseks või nende osade vahetamiseks)</w:t>
      </w:r>
      <w:r w:rsidR="00D22039" w:rsidRPr="00117C05">
        <w:t xml:space="preserve"> </w:t>
      </w:r>
      <w:r w:rsidR="008C3895" w:rsidRPr="00117C05">
        <w:t xml:space="preserve">teavitab Töövõtja Tellijat </w:t>
      </w:r>
      <w:r w:rsidR="00E05F2C" w:rsidRPr="00117C05">
        <w:t>esimesel võimalusel</w:t>
      </w:r>
      <w:r w:rsidR="008C3895" w:rsidRPr="00117C05">
        <w:t xml:space="preserve"> </w:t>
      </w:r>
      <w:r w:rsidR="00741C0D" w:rsidRPr="00117C05">
        <w:t>nn erakorraliste</w:t>
      </w:r>
      <w:r w:rsidR="008C3895" w:rsidRPr="00117C05">
        <w:t xml:space="preserve"> remonttööde vajadusest. </w:t>
      </w:r>
      <w:r w:rsidR="0017788D" w:rsidRPr="00117C05">
        <w:t xml:space="preserve">Kui erakorraliste remonttööde vajaduse tõttu ei saa Tellija Seadmeid kasutada, ei loeta seda </w:t>
      </w:r>
      <w:r w:rsidR="00233429" w:rsidRPr="00117C05">
        <w:t>L</w:t>
      </w:r>
      <w:r w:rsidR="0017788D" w:rsidRPr="00117C05">
        <w:t>epingu</w:t>
      </w:r>
      <w:r w:rsidR="00233429" w:rsidRPr="00117C05">
        <w:t xml:space="preserve"> </w:t>
      </w:r>
      <w:r w:rsidR="0017788D" w:rsidRPr="00117C05">
        <w:t xml:space="preserve">rikkumiseks või asjaoluks, mille eest </w:t>
      </w:r>
      <w:r w:rsidR="0051265F" w:rsidRPr="00117C05">
        <w:t xml:space="preserve">vastutab </w:t>
      </w:r>
      <w:r w:rsidR="0017788D" w:rsidRPr="00117C05">
        <w:t xml:space="preserve">Töövõtja. </w:t>
      </w:r>
    </w:p>
    <w:p w14:paraId="7FFE0059" w14:textId="1EB6DA00" w:rsidR="00D22039" w:rsidRPr="00117C05" w:rsidRDefault="006E3CF2" w:rsidP="00656373">
      <w:pPr>
        <w:pStyle w:val="2ndlevelprovision"/>
      </w:pPr>
      <w:r w:rsidRPr="00117C05">
        <w:lastRenderedPageBreak/>
        <w:t>Konkreetsete e</w:t>
      </w:r>
      <w:r w:rsidR="00073A86" w:rsidRPr="00117C05">
        <w:t>rakorraliste r</w:t>
      </w:r>
      <w:r w:rsidR="004A48F1" w:rsidRPr="00117C05">
        <w:t>e</w:t>
      </w:r>
      <w:r w:rsidR="007212C4" w:rsidRPr="00117C05">
        <w:t xml:space="preserve">monttööde </w:t>
      </w:r>
      <w:r w:rsidR="0011085A" w:rsidRPr="00117C05">
        <w:t xml:space="preserve">teostamine </w:t>
      </w:r>
      <w:r w:rsidR="007F0EA6" w:rsidRPr="00117C05">
        <w:t xml:space="preserve">ja nende </w:t>
      </w:r>
      <w:r w:rsidR="00136D2A" w:rsidRPr="00117C05">
        <w:t>eest tasumine</w:t>
      </w:r>
      <w:r w:rsidR="007F0EA6" w:rsidRPr="00117C05">
        <w:t xml:space="preserve"> </w:t>
      </w:r>
      <w:r w:rsidR="0011085A" w:rsidRPr="00117C05">
        <w:t xml:space="preserve">lepitakse kokku eraldiseisvalt. </w:t>
      </w:r>
      <w:r w:rsidR="008C3895" w:rsidRPr="00117C05">
        <w:t>Tellija palve</w:t>
      </w:r>
      <w:r w:rsidR="00CD0D33" w:rsidRPr="00117C05">
        <w:t>l</w:t>
      </w:r>
      <w:r w:rsidR="008C3895" w:rsidRPr="00117C05">
        <w:t xml:space="preserve"> (ka juhul, kui Tellijale saab </w:t>
      </w:r>
      <w:r w:rsidR="00CD0D33" w:rsidRPr="00117C05">
        <w:t>erakorraliste</w:t>
      </w:r>
      <w:r w:rsidR="008C3895" w:rsidRPr="00117C05">
        <w:t xml:space="preserve"> remonttööde vajadus teatavaks muul viisil kui Töövõtja poolt teostavate korraliste hooldustööde käigus)</w:t>
      </w:r>
      <w:r w:rsidR="00CD0D33" w:rsidRPr="00117C05">
        <w:t xml:space="preserve"> </w:t>
      </w:r>
      <w:r w:rsidR="00AA05D4" w:rsidRPr="00117C05">
        <w:t>teeb Töövõtja Tellijale erakorraliste remonttööde teostamiseks</w:t>
      </w:r>
      <w:r w:rsidR="00BB4A22" w:rsidRPr="00117C05">
        <w:t xml:space="preserve"> hinnapakkumise</w:t>
      </w:r>
      <w:r w:rsidR="00AA05D4" w:rsidRPr="00117C05">
        <w:t>.</w:t>
      </w:r>
      <w:r w:rsidR="009D5579" w:rsidRPr="00117C05">
        <w:t xml:space="preserve"> </w:t>
      </w:r>
      <w:r w:rsidR="00D93EE6" w:rsidRPr="00117C05">
        <w:t>Töövõtja alustab erakorraliste remonttööde teostamist</w:t>
      </w:r>
      <w:r w:rsidR="00656373" w:rsidRPr="00117C05">
        <w:t>, kui</w:t>
      </w:r>
      <w:r w:rsidR="00D93EE6" w:rsidRPr="00117C05">
        <w:t xml:space="preserve"> Tellija</w:t>
      </w:r>
      <w:r w:rsidR="00656373" w:rsidRPr="00117C05">
        <w:t xml:space="preserve"> kinnitab Töövõtja hinnapakkumise või kinnitab muul viisil, et Töövõtja võib tööde teostamist alustada.</w:t>
      </w:r>
    </w:p>
    <w:p w14:paraId="5E553500" w14:textId="42D1EFDA" w:rsidR="00AA05D4" w:rsidRPr="00117C05" w:rsidRDefault="00E06E86" w:rsidP="006D229C">
      <w:pPr>
        <w:pStyle w:val="2ndlevelprovision"/>
      </w:pPr>
      <w:bookmarkStart w:id="2" w:name="_Ref1482298"/>
      <w:r w:rsidRPr="00117C05">
        <w:t>Kui erakorraliste remonttööde käigus selgub, et Seadme</w:t>
      </w:r>
      <w:r w:rsidR="005A5305" w:rsidRPr="00117C05">
        <w:t xml:space="preserve">te või nende osade </w:t>
      </w:r>
      <w:r w:rsidRPr="00117C05">
        <w:t>remontimine on o</w:t>
      </w:r>
      <w:r w:rsidR="005A5305" w:rsidRPr="00117C05">
        <w:t>tstarbetu või Seadmete või nende osade remontimine on ilma täiendavate detailideta võimatu, on Töövõtjal õigus katkestada tööde tegemine teavitades sellest viivitamatult Tellijat</w:t>
      </w:r>
      <w:r w:rsidR="00F42517" w:rsidRPr="00117C05">
        <w:t>. Sellisel juhul analüüsivad Pooled operatiivselt tööd</w:t>
      </w:r>
      <w:r w:rsidR="00930757" w:rsidRPr="00117C05">
        <w:t>e</w:t>
      </w:r>
      <w:r w:rsidR="00F42517" w:rsidRPr="00117C05">
        <w:t xml:space="preserve"> jätkamise otstarbekust </w:t>
      </w:r>
      <w:r w:rsidR="002C3D60" w:rsidRPr="00117C05">
        <w:t>ja võimalikkust ning lepivad kokku tööde teostamiseks</w:t>
      </w:r>
      <w:r w:rsidR="009D5579" w:rsidRPr="00117C05">
        <w:t xml:space="preserve"> vajaminevate detailide tellimises Töövõtja poolt.</w:t>
      </w:r>
      <w:bookmarkEnd w:id="2"/>
    </w:p>
    <w:p w14:paraId="05DF343E" w14:textId="34F9E3F2" w:rsidR="00D22039" w:rsidRPr="00117C05" w:rsidRDefault="00E2614D" w:rsidP="006D229C">
      <w:pPr>
        <w:pStyle w:val="2ndlevelprovision"/>
      </w:pPr>
      <w:r w:rsidRPr="00117C05">
        <w:t xml:space="preserve">Punktis </w:t>
      </w:r>
      <w:r w:rsidRPr="00117C05">
        <w:fldChar w:fldCharType="begin"/>
      </w:r>
      <w:r w:rsidRPr="00117C05">
        <w:instrText xml:space="preserve"> REF _Ref1482298 \r \h </w:instrText>
      </w:r>
      <w:r w:rsidR="009F2962" w:rsidRPr="00117C05">
        <w:instrText xml:space="preserve"> \* MERGEFORMAT </w:instrText>
      </w:r>
      <w:r w:rsidRPr="00117C05">
        <w:fldChar w:fldCharType="separate"/>
      </w:r>
      <w:r w:rsidR="00AE1B74">
        <w:t>3.3</w:t>
      </w:r>
      <w:r w:rsidRPr="00117C05">
        <w:fldChar w:fldCharType="end"/>
      </w:r>
      <w:r w:rsidRPr="00117C05">
        <w:t xml:space="preserve"> </w:t>
      </w:r>
      <w:r w:rsidR="00664765" w:rsidRPr="00117C05">
        <w:t xml:space="preserve">viidatud kokkuleppe saavutamisel hangib Töövõtja vajalikud detailid </w:t>
      </w:r>
      <w:r w:rsidR="00936D8B" w:rsidRPr="00117C05">
        <w:t xml:space="preserve">ja korraldab erakorraliste remonttööde jätkamise </w:t>
      </w:r>
      <w:r w:rsidR="00664765" w:rsidRPr="00117C05">
        <w:t>esimesel võimalusel.</w:t>
      </w:r>
      <w:r w:rsidR="00A222D7" w:rsidRPr="00117C05">
        <w:t xml:space="preserve"> </w:t>
      </w:r>
      <w:r w:rsidR="00DD789A" w:rsidRPr="00117C05">
        <w:t xml:space="preserve">Kui ei esine erandlikke asjaolusid, on Töövõtja võimeline hankima vajalikud detailid ja jätkama </w:t>
      </w:r>
      <w:r w:rsidR="00266C79" w:rsidRPr="00117C05">
        <w:t xml:space="preserve">erakorraliste remonttööde teostamist 3 (kolme) tööpäeva jooksul, kui vajalikud detailid on võimalik hankida Eestist, ning 21 (kahekümne ühe) tööpäeva jooksul, kui vajalikud detailid tuleb hankida välismaalt. </w:t>
      </w:r>
    </w:p>
    <w:p w14:paraId="5EE3EFEF" w14:textId="77777777" w:rsidR="009D02BD" w:rsidRPr="00117C05" w:rsidRDefault="009D02BD" w:rsidP="006D229C">
      <w:pPr>
        <w:pStyle w:val="1stlevelheading"/>
        <w:numPr>
          <w:ilvl w:val="0"/>
          <w:numId w:val="28"/>
        </w:numPr>
        <w:spacing w:before="120" w:after="120"/>
        <w:rPr>
          <w:lang w:val="et-EE"/>
        </w:rPr>
      </w:pPr>
      <w:r w:rsidRPr="00117C05">
        <w:rPr>
          <w:lang w:val="et-EE"/>
        </w:rPr>
        <w:t>Tööde teostamine</w:t>
      </w:r>
      <w:r w:rsidR="000C7863" w:rsidRPr="00117C05">
        <w:rPr>
          <w:lang w:val="et-EE"/>
        </w:rPr>
        <w:t xml:space="preserve"> </w:t>
      </w:r>
    </w:p>
    <w:p w14:paraId="7FF92406" w14:textId="1CB860EC" w:rsidR="006F2473" w:rsidRPr="00117C05" w:rsidRDefault="006F2473" w:rsidP="00E460AE">
      <w:pPr>
        <w:pStyle w:val="2ndlevelprovision"/>
      </w:pPr>
      <w:r w:rsidRPr="00117C05">
        <w:t>Töövõtjal teostab korralisi hooldustöid ja erakorralisi remonttöid Poolte vahel eelnevalt kokku lepitud ajal, kuid üksnes Töövõtja tavapärase tööajal, see tähendab tööpäevadel (esmaspäevast reedeni, väljaarvatud riigipühad) ajavahemikus 09:00 kuni 17:30.</w:t>
      </w:r>
      <w:r w:rsidR="00E460AE" w:rsidRPr="00117C05">
        <w:t xml:space="preserve"> Tellija soovil võivad Pooled sõlmida eraldiseisva avariit</w:t>
      </w:r>
      <w:r w:rsidR="00706C1D" w:rsidRPr="00117C05">
        <w:t>eenuse</w:t>
      </w:r>
      <w:r w:rsidR="00E460AE" w:rsidRPr="00117C05">
        <w:t xml:space="preserve"> lepingu, mille alusel osutab Töövõtja erakorraliste remonttööde teenust väljaspool Töövõtja tavapärast tööaega või lühendatud reageerimiseaegade jooksul.</w:t>
      </w:r>
    </w:p>
    <w:p w14:paraId="51C3EE89" w14:textId="44F7FAE5" w:rsidR="00365C76" w:rsidRPr="00117C05" w:rsidRDefault="00831207" w:rsidP="007C3032">
      <w:pPr>
        <w:pStyle w:val="2ndlevelprovision"/>
      </w:pPr>
      <w:r w:rsidRPr="00117C05">
        <w:t xml:space="preserve">Töövõtja teostab korralisi hooldustöid ning erakorralisi remonttöid vastavalt </w:t>
      </w:r>
      <w:r w:rsidR="00F967E0" w:rsidRPr="00117C05">
        <w:t>asjakohastele juhenditele, kvaliteedi-</w:t>
      </w:r>
      <w:r w:rsidR="00365C76" w:rsidRPr="00117C05">
        <w:t>, keskkonnaohutus- ja sanitaarnõuetele.</w:t>
      </w:r>
      <w:r w:rsidR="007C3032" w:rsidRPr="00117C05">
        <w:t xml:space="preserve"> </w:t>
      </w:r>
      <w:r w:rsidR="00365C76" w:rsidRPr="00117C05">
        <w:t xml:space="preserve">Tellija kohustub </w:t>
      </w:r>
      <w:r w:rsidR="00C101F7" w:rsidRPr="00117C05">
        <w:t xml:space="preserve">Töövõtjat </w:t>
      </w:r>
      <w:r w:rsidR="00365C76" w:rsidRPr="00117C05">
        <w:t xml:space="preserve">teavitama </w:t>
      </w:r>
      <w:r w:rsidR="00C101F7" w:rsidRPr="00117C05">
        <w:t>kõikidest tööde</w:t>
      </w:r>
      <w:r w:rsidR="008D4604" w:rsidRPr="00117C05">
        <w:t xml:space="preserve"> teostamise asukohaga seonduvates</w:t>
      </w:r>
      <w:r w:rsidR="009676E3" w:rsidRPr="00117C05">
        <w:t>t</w:t>
      </w:r>
      <w:r w:rsidR="008D4604" w:rsidRPr="00117C05">
        <w:t xml:space="preserve"> Töövõtjale järgmiseks kohustuslikest nõuetest ja juhistest.</w:t>
      </w:r>
    </w:p>
    <w:p w14:paraId="64A2EB50" w14:textId="1501CA4C" w:rsidR="00664765" w:rsidRPr="00117C05" w:rsidRDefault="00723231" w:rsidP="006D229C">
      <w:pPr>
        <w:pStyle w:val="2ndlevelprovision"/>
      </w:pPr>
      <w:r w:rsidRPr="00117C05">
        <w:t xml:space="preserve">Tellija tagab Töövõtja ligipääsu hooldatavatele ja remonditavatele Seadmetele ning </w:t>
      </w:r>
      <w:r w:rsidR="0024260A" w:rsidRPr="00117C05">
        <w:t xml:space="preserve">tööde teostamiseks </w:t>
      </w:r>
      <w:r w:rsidRPr="00117C05">
        <w:t xml:space="preserve">vajalikud </w:t>
      </w:r>
      <w:r w:rsidR="0024260A" w:rsidRPr="00117C05">
        <w:t xml:space="preserve">väljalülitamised. </w:t>
      </w:r>
    </w:p>
    <w:p w14:paraId="592A4B54" w14:textId="77777777" w:rsidR="00197010" w:rsidRPr="00117C05" w:rsidRDefault="00197010" w:rsidP="006D229C">
      <w:pPr>
        <w:pStyle w:val="1stlevelheading"/>
        <w:numPr>
          <w:ilvl w:val="0"/>
          <w:numId w:val="28"/>
        </w:numPr>
        <w:spacing w:before="120" w:after="120"/>
        <w:rPr>
          <w:lang w:val="et-EE"/>
        </w:rPr>
      </w:pPr>
      <w:r w:rsidRPr="00117C05">
        <w:rPr>
          <w:lang w:val="et-EE"/>
        </w:rPr>
        <w:t>Tööde vastuvõtmine</w:t>
      </w:r>
    </w:p>
    <w:p w14:paraId="4698CB9A" w14:textId="4051FF5F" w:rsidR="00E610AE" w:rsidRPr="00117C05" w:rsidRDefault="00E610AE" w:rsidP="006D229C">
      <w:pPr>
        <w:pStyle w:val="2ndlevelprovision"/>
      </w:pPr>
      <w:r w:rsidRPr="00117C05">
        <w:t>Pooled fikseerivad nii korraliste hooldustööde kui erakorraliste remonttööde teostamise tööde üleandmise-vastuvõtmise aktiga, millele kirjutavad alla kummagi Poole esindajad.</w:t>
      </w:r>
    </w:p>
    <w:p w14:paraId="6EC7B6F9" w14:textId="77777777" w:rsidR="00197010" w:rsidRPr="00117C05" w:rsidRDefault="00E610AE" w:rsidP="006D229C">
      <w:pPr>
        <w:pStyle w:val="2ndlevelprovision"/>
      </w:pPr>
      <w:r w:rsidRPr="00117C05">
        <w:t xml:space="preserve">Kui </w:t>
      </w:r>
      <w:r w:rsidR="00D242E7" w:rsidRPr="00117C05">
        <w:t>Tellija</w:t>
      </w:r>
      <w:r w:rsidRPr="00117C05">
        <w:t xml:space="preserve"> keeldub alusetult </w:t>
      </w:r>
      <w:r w:rsidR="00D242E7" w:rsidRPr="00117C05">
        <w:t>Töövõtja</w:t>
      </w:r>
      <w:r w:rsidRPr="00117C05">
        <w:t xml:space="preserve"> poolt talle selleks antud mõistliku tähtaja jooksul tööde üleandmise-vastuvõtmise akti allkirjastamisest, loetakse </w:t>
      </w:r>
      <w:r w:rsidR="00563C77" w:rsidRPr="00117C05">
        <w:t>töö Tellija</w:t>
      </w:r>
      <w:r w:rsidRPr="00117C05">
        <w:t xml:space="preserve"> poolt vastuvõetuks.</w:t>
      </w:r>
    </w:p>
    <w:p w14:paraId="7EC35B19" w14:textId="77777777" w:rsidR="00C11848" w:rsidRPr="00117C05" w:rsidRDefault="00C11848" w:rsidP="006D229C">
      <w:pPr>
        <w:pStyle w:val="1stlevelheading"/>
        <w:numPr>
          <w:ilvl w:val="0"/>
          <w:numId w:val="28"/>
        </w:numPr>
        <w:spacing w:before="120" w:after="120"/>
        <w:rPr>
          <w:lang w:val="et-EE"/>
        </w:rPr>
      </w:pPr>
      <w:r w:rsidRPr="00117C05">
        <w:rPr>
          <w:lang w:val="et-EE"/>
        </w:rPr>
        <w:t>TASUMINE</w:t>
      </w:r>
    </w:p>
    <w:p w14:paraId="278ADCF9" w14:textId="73E1400D" w:rsidR="000273FC" w:rsidRPr="00117C05" w:rsidRDefault="00236C3D" w:rsidP="006D229C">
      <w:pPr>
        <w:pStyle w:val="Style1"/>
        <w:numPr>
          <w:ilvl w:val="1"/>
          <w:numId w:val="28"/>
        </w:numPr>
        <w:tabs>
          <w:tab w:val="clear" w:pos="964"/>
          <w:tab w:val="num" w:pos="567"/>
        </w:tabs>
        <w:ind w:left="567" w:hanging="567"/>
      </w:pPr>
      <w:bookmarkStart w:id="3" w:name="_Ref1422697"/>
      <w:r w:rsidRPr="00117C05">
        <w:t xml:space="preserve">Tellija tasub </w:t>
      </w:r>
      <w:r w:rsidR="00A51CE1" w:rsidRPr="00117C05">
        <w:t xml:space="preserve">vastavalt Lisas 1 kokku lepitud korraliste hooldustööde maksumusele </w:t>
      </w:r>
      <w:r w:rsidR="00733918" w:rsidRPr="00117C05">
        <w:t xml:space="preserve">ning Töövõtja eraldiseisvate hinnapakkumiste alusel kokku lepitud erakorraliste remontööde maksumustele teostatud tööde </w:t>
      </w:r>
      <w:r w:rsidR="00A51CE1" w:rsidRPr="00117C05">
        <w:t xml:space="preserve">eest vastavalt </w:t>
      </w:r>
      <w:r w:rsidR="004C44B3">
        <w:t>T</w:t>
      </w:r>
      <w:r w:rsidR="00A51CE1" w:rsidRPr="007B51DE">
        <w:t>öövõtja poolt esitatud</w:t>
      </w:r>
      <w:r w:rsidR="007B51DE">
        <w:t xml:space="preserve"> e-arvetele.</w:t>
      </w:r>
      <w:r w:rsidR="00A51CE1" w:rsidRPr="00117C05">
        <w:t xml:space="preserve"> </w:t>
      </w:r>
    </w:p>
    <w:p w14:paraId="154BFEEC" w14:textId="77777777" w:rsidR="005E16D2" w:rsidRPr="00117C05" w:rsidRDefault="005E16D2" w:rsidP="006D229C">
      <w:pPr>
        <w:pStyle w:val="Style1"/>
        <w:numPr>
          <w:ilvl w:val="1"/>
          <w:numId w:val="28"/>
        </w:numPr>
        <w:tabs>
          <w:tab w:val="clear" w:pos="964"/>
          <w:tab w:val="num" w:pos="567"/>
        </w:tabs>
        <w:ind w:left="567" w:hanging="567"/>
      </w:pPr>
      <w:r w:rsidRPr="00117C05">
        <w:t>Kui teisiti ei ole kokku lepitud, on tööde maksumuse sisse arvestatud:</w:t>
      </w:r>
    </w:p>
    <w:p w14:paraId="1F7F5BA2" w14:textId="2353B8B7" w:rsidR="005E16D2" w:rsidRPr="00117C05" w:rsidRDefault="00B204BC" w:rsidP="006D229C">
      <w:pPr>
        <w:pStyle w:val="3rdlevelsubprovision"/>
        <w:rPr>
          <w:lang w:val="et-EE"/>
        </w:rPr>
      </w:pPr>
      <w:r w:rsidRPr="00117C05">
        <w:rPr>
          <w:lang w:val="et-EE"/>
        </w:rPr>
        <w:t xml:space="preserve">tööde teostamisel vajaminevad kulutarbed </w:t>
      </w:r>
      <w:r w:rsidR="00C373BE" w:rsidRPr="00117C05">
        <w:rPr>
          <w:lang w:val="et-EE"/>
        </w:rPr>
        <w:t>õli</w:t>
      </w:r>
      <w:r w:rsidR="001E5029" w:rsidRPr="00117C05">
        <w:rPr>
          <w:lang w:val="et-EE"/>
        </w:rPr>
        <w:t>filter</w:t>
      </w:r>
      <w:r w:rsidR="00C373BE" w:rsidRPr="00117C05">
        <w:rPr>
          <w:lang w:val="et-EE"/>
        </w:rPr>
        <w:t>, kütuse</w:t>
      </w:r>
      <w:r w:rsidR="001E5029" w:rsidRPr="00117C05">
        <w:rPr>
          <w:lang w:val="et-EE"/>
        </w:rPr>
        <w:t>filter</w:t>
      </w:r>
      <w:r w:rsidR="00C373BE" w:rsidRPr="00117C05">
        <w:rPr>
          <w:lang w:val="et-EE"/>
        </w:rPr>
        <w:t xml:space="preserve"> ja õhufilt</w:t>
      </w:r>
      <w:r w:rsidR="001E5029" w:rsidRPr="00117C05">
        <w:rPr>
          <w:lang w:val="et-EE"/>
        </w:rPr>
        <w:t>er,</w:t>
      </w:r>
      <w:r w:rsidR="00862B2D">
        <w:rPr>
          <w:lang w:val="et-EE"/>
        </w:rPr>
        <w:t xml:space="preserve"> </w:t>
      </w:r>
      <w:r w:rsidR="001E5029" w:rsidRPr="00117C05">
        <w:rPr>
          <w:lang w:val="et-EE"/>
        </w:rPr>
        <w:t>m</w:t>
      </w:r>
      <w:r w:rsidR="00C373BE" w:rsidRPr="00117C05">
        <w:rPr>
          <w:lang w:val="et-EE"/>
        </w:rPr>
        <w:t>ootori õli ja jahutusvedelik.</w:t>
      </w:r>
    </w:p>
    <w:p w14:paraId="73EB1CA8" w14:textId="74349C5F" w:rsidR="00EF633C" w:rsidRPr="00117C05" w:rsidRDefault="00EF633C" w:rsidP="006D229C">
      <w:pPr>
        <w:pStyle w:val="3rdlevelsubprovision"/>
        <w:rPr>
          <w:lang w:val="et-EE"/>
        </w:rPr>
      </w:pPr>
      <w:r w:rsidRPr="00117C05">
        <w:rPr>
          <w:lang w:val="et-EE"/>
        </w:rPr>
        <w:lastRenderedPageBreak/>
        <w:t xml:space="preserve">vahetatud materjalide ja vedelike utiliseerimine </w:t>
      </w:r>
    </w:p>
    <w:p w14:paraId="1DB74BD3" w14:textId="77777777" w:rsidR="00EF633C" w:rsidRPr="00117C05" w:rsidRDefault="00EF633C" w:rsidP="006D229C">
      <w:pPr>
        <w:pStyle w:val="3rdlevelsubprovision"/>
        <w:rPr>
          <w:lang w:val="et-EE"/>
        </w:rPr>
      </w:pPr>
      <w:r w:rsidRPr="00117C05">
        <w:rPr>
          <w:lang w:val="et-EE"/>
        </w:rPr>
        <w:t>transport.</w:t>
      </w:r>
    </w:p>
    <w:p w14:paraId="1BE49B9F" w14:textId="77777777" w:rsidR="00C11848" w:rsidRPr="00117C05" w:rsidRDefault="00B204BC" w:rsidP="006D229C">
      <w:pPr>
        <w:pStyle w:val="2ndlevelprovision"/>
      </w:pPr>
      <w:r w:rsidRPr="00117C05">
        <w:t>Kui teisiti ei ole kokku lepitud, ei sisalda Töövõtja hinnapakkumised käibemaksu.</w:t>
      </w:r>
      <w:bookmarkEnd w:id="3"/>
    </w:p>
    <w:p w14:paraId="2C32DE8E" w14:textId="7F20B7B2" w:rsidR="002508AA" w:rsidRPr="00117C05" w:rsidRDefault="00C11848" w:rsidP="006D229C">
      <w:pPr>
        <w:pStyle w:val="Style1"/>
        <w:numPr>
          <w:ilvl w:val="1"/>
          <w:numId w:val="28"/>
        </w:numPr>
        <w:ind w:left="567" w:hanging="567"/>
      </w:pPr>
      <w:r w:rsidRPr="00117C05">
        <w:t xml:space="preserve">Kui teisiti ei ole kokku lepitud, esitab </w:t>
      </w:r>
      <w:r w:rsidR="005C2AA7" w:rsidRPr="00117C05">
        <w:t>Töövõtja</w:t>
      </w:r>
      <w:r w:rsidRPr="00117C05">
        <w:t xml:space="preserve"> </w:t>
      </w:r>
      <w:r w:rsidR="005C2AA7" w:rsidRPr="00117C05">
        <w:t>Tellijale</w:t>
      </w:r>
      <w:r w:rsidRPr="00117C05">
        <w:t xml:space="preserve"> arve</w:t>
      </w:r>
      <w:r w:rsidR="0088247B" w:rsidRPr="00117C05">
        <w:t xml:space="preserve"> </w:t>
      </w:r>
      <w:r w:rsidR="005C2AA7" w:rsidRPr="00117C05">
        <w:t xml:space="preserve"> </w:t>
      </w:r>
      <w:r w:rsidRPr="00117C05">
        <w:t>14 (neljateistkümne) päeva jooksul alates tööde üleandmise-vastuvõtmise akti allkirjastamisest mõlema Poole esindajate poolt</w:t>
      </w:r>
      <w:r w:rsidR="00563C77" w:rsidRPr="00117C05">
        <w:t xml:space="preserve"> või tööde Tellija poolt vast</w:t>
      </w:r>
      <w:r w:rsidR="00601CA9">
        <w:t>u</w:t>
      </w:r>
      <w:r w:rsidR="00563C77" w:rsidRPr="00117C05">
        <w:t>võetuks lugemist</w:t>
      </w:r>
      <w:r w:rsidRPr="00117C05">
        <w:t>.</w:t>
      </w:r>
    </w:p>
    <w:p w14:paraId="3690C57A" w14:textId="77777777" w:rsidR="00786CD9" w:rsidRPr="00117C05" w:rsidRDefault="002508AA" w:rsidP="006D229C">
      <w:pPr>
        <w:pStyle w:val="Style1"/>
        <w:numPr>
          <w:ilvl w:val="1"/>
          <w:numId w:val="28"/>
        </w:numPr>
        <w:ind w:left="567" w:hanging="567"/>
      </w:pPr>
      <w:r w:rsidRPr="00117C05">
        <w:t xml:space="preserve">Töövõtja jätab endale õiguse väljastada arve enne </w:t>
      </w:r>
      <w:r w:rsidR="00E84D8A" w:rsidRPr="00117C05">
        <w:t>tööde teostamist</w:t>
      </w:r>
      <w:r w:rsidRPr="00117C05">
        <w:t xml:space="preserve">, samuti nõuda </w:t>
      </w:r>
      <w:r w:rsidR="00E84D8A" w:rsidRPr="00117C05">
        <w:t>tööde teostamise</w:t>
      </w:r>
      <w:r w:rsidRPr="00117C05">
        <w:t xml:space="preserve"> eest täies ulatuses või osalist ettemaksu, kui </w:t>
      </w:r>
      <w:r w:rsidR="00E84D8A" w:rsidRPr="00117C05">
        <w:t xml:space="preserve">Töövõtjale </w:t>
      </w:r>
      <w:r w:rsidRPr="00117C05">
        <w:t xml:space="preserve">saavad teatavaks asjaolud, mis võimaldavad kahelda </w:t>
      </w:r>
      <w:r w:rsidR="00E84D8A" w:rsidRPr="00117C05">
        <w:t>Tellija</w:t>
      </w:r>
      <w:r w:rsidRPr="00117C05">
        <w:t xml:space="preserve"> maksevõimelisuses</w:t>
      </w:r>
      <w:r w:rsidR="00E84D8A" w:rsidRPr="00117C05">
        <w:t>.</w:t>
      </w:r>
    </w:p>
    <w:p w14:paraId="6AF4B5A1" w14:textId="77777777" w:rsidR="00C11848" w:rsidRPr="00117C05" w:rsidRDefault="00C11848" w:rsidP="006D229C">
      <w:pPr>
        <w:pStyle w:val="Style1"/>
        <w:numPr>
          <w:ilvl w:val="1"/>
          <w:numId w:val="28"/>
        </w:numPr>
        <w:ind w:left="567" w:hanging="567"/>
      </w:pPr>
      <w:r w:rsidRPr="00117C05">
        <w:t xml:space="preserve">Kui arvel ei ole märgitud teisiti, kuulub </w:t>
      </w:r>
      <w:r w:rsidR="00E84D8A" w:rsidRPr="00117C05">
        <w:t xml:space="preserve">see Tellija poolt </w:t>
      </w:r>
      <w:r w:rsidRPr="00117C05">
        <w:t xml:space="preserve">tasumisele 14 (neljateistkümne) päeva jooksul alates </w:t>
      </w:r>
      <w:r w:rsidR="00E84D8A" w:rsidRPr="00117C05">
        <w:t>arve</w:t>
      </w:r>
      <w:r w:rsidRPr="00117C05">
        <w:t xml:space="preserve"> väljastamisest.</w:t>
      </w:r>
      <w:r w:rsidR="00E84D8A" w:rsidRPr="00117C05">
        <w:t xml:space="preserve"> Arve loetakse tasunuks, kui sellel märgitud summa on laekunud Töövõtja arveldusarvele.</w:t>
      </w:r>
    </w:p>
    <w:p w14:paraId="48E8D94C" w14:textId="253416C9" w:rsidR="00C11848" w:rsidRPr="00117C05" w:rsidRDefault="00C11848" w:rsidP="006D229C">
      <w:pPr>
        <w:pStyle w:val="Style1"/>
        <w:numPr>
          <w:ilvl w:val="1"/>
          <w:numId w:val="28"/>
        </w:numPr>
        <w:ind w:left="567" w:hanging="567"/>
      </w:pPr>
      <w:r w:rsidRPr="00117C05">
        <w:t xml:space="preserve">Kui </w:t>
      </w:r>
      <w:r w:rsidR="00CB367A" w:rsidRPr="00117C05">
        <w:t>Tellija</w:t>
      </w:r>
      <w:r w:rsidRPr="00117C05">
        <w:t xml:space="preserve"> viivitab </w:t>
      </w:r>
      <w:r w:rsidR="00CB367A" w:rsidRPr="00117C05">
        <w:t>Töövõtjale</w:t>
      </w:r>
      <w:r w:rsidRPr="00117C05">
        <w:t xml:space="preserve"> tasu maksmisega, on </w:t>
      </w:r>
      <w:r w:rsidR="00CB367A" w:rsidRPr="00117C05">
        <w:t>Töövõtjal</w:t>
      </w:r>
      <w:r w:rsidRPr="00117C05">
        <w:t xml:space="preserve"> õigus nõuda </w:t>
      </w:r>
      <w:r w:rsidR="00CB367A" w:rsidRPr="00117C05">
        <w:t xml:space="preserve">Tellijalt </w:t>
      </w:r>
      <w:r w:rsidRPr="00117C05">
        <w:t>viivitusintressi (viivist) seaduses sätestatud maksimaalse määra ulatuses alates tasu sisse</w:t>
      </w:r>
      <w:r w:rsidR="00601CA9">
        <w:t xml:space="preserve"> </w:t>
      </w:r>
      <w:r w:rsidRPr="00117C05">
        <w:t>nõutavaks muutumisest kuni kohase tasumiseni.</w:t>
      </w:r>
    </w:p>
    <w:p w14:paraId="27E52389" w14:textId="77777777" w:rsidR="00E84D8A" w:rsidRPr="00117C05" w:rsidRDefault="00E84D8A" w:rsidP="006D229C">
      <w:pPr>
        <w:pStyle w:val="1stlevelheading"/>
        <w:numPr>
          <w:ilvl w:val="0"/>
          <w:numId w:val="28"/>
        </w:numPr>
        <w:spacing w:before="120" w:after="120"/>
        <w:rPr>
          <w:lang w:val="et-EE"/>
        </w:rPr>
      </w:pPr>
      <w:r w:rsidRPr="00117C05">
        <w:rPr>
          <w:lang w:val="et-EE"/>
        </w:rPr>
        <w:t>Garantii</w:t>
      </w:r>
    </w:p>
    <w:p w14:paraId="1C90F9F7" w14:textId="0B57665B" w:rsidR="00D52515" w:rsidRPr="00117C05" w:rsidRDefault="00D52515" w:rsidP="006D229C">
      <w:pPr>
        <w:pStyle w:val="Style1"/>
        <w:numPr>
          <w:ilvl w:val="1"/>
          <w:numId w:val="28"/>
        </w:numPr>
        <w:tabs>
          <w:tab w:val="clear" w:pos="964"/>
          <w:tab w:val="num" w:pos="567"/>
        </w:tabs>
        <w:ind w:left="567" w:hanging="567"/>
      </w:pPr>
      <w:r w:rsidRPr="00117C05">
        <w:t xml:space="preserve">Töövõtja </w:t>
      </w:r>
      <w:r w:rsidR="009B43A5" w:rsidRPr="00117C05">
        <w:t>poolt teostatud</w:t>
      </w:r>
      <w:r w:rsidR="00FC68D5" w:rsidRPr="00117C05">
        <w:t xml:space="preserve"> hooldusele või </w:t>
      </w:r>
      <w:r w:rsidR="009B43A5" w:rsidRPr="00117C05">
        <w:t>erakorralistele remonttöödele kehtib garantii 6 (kuus) kuud alates tööde teostamisest.</w:t>
      </w:r>
    </w:p>
    <w:p w14:paraId="438C1C7B" w14:textId="77777777" w:rsidR="004F59AA" w:rsidRPr="00117C05" w:rsidRDefault="009B43A5" w:rsidP="006D229C">
      <w:pPr>
        <w:pStyle w:val="Style1"/>
        <w:numPr>
          <w:ilvl w:val="1"/>
          <w:numId w:val="28"/>
        </w:numPr>
        <w:tabs>
          <w:tab w:val="clear" w:pos="964"/>
          <w:tab w:val="num" w:pos="567"/>
        </w:tabs>
        <w:ind w:left="567" w:hanging="567"/>
      </w:pPr>
      <w:r w:rsidRPr="00117C05">
        <w:t xml:space="preserve">Töövõtja poolt paigaldatud </w:t>
      </w:r>
      <w:r w:rsidR="00FE1DC9" w:rsidRPr="00117C05">
        <w:t>täiendavatele detailidele kehtib garantii vastavalt iga detaili valmistajatehase garantii tingimustele, kuid mitte vähem kui 6 (kuus) kuud alates detailide paigaldamisest</w:t>
      </w:r>
      <w:r w:rsidR="002E6DFA" w:rsidRPr="00117C05">
        <w:t>.</w:t>
      </w:r>
    </w:p>
    <w:p w14:paraId="1CD0DE14" w14:textId="241BA68F" w:rsidR="00EB2462" w:rsidRPr="00117C05" w:rsidRDefault="000D7A57" w:rsidP="006D229C">
      <w:pPr>
        <w:pStyle w:val="Style1"/>
        <w:numPr>
          <w:ilvl w:val="1"/>
          <w:numId w:val="28"/>
        </w:numPr>
        <w:tabs>
          <w:tab w:val="clear" w:pos="964"/>
          <w:tab w:val="num" w:pos="567"/>
        </w:tabs>
        <w:ind w:left="567" w:hanging="567"/>
      </w:pPr>
      <w:r w:rsidRPr="00117C05">
        <w:t xml:space="preserve">Garantii </w:t>
      </w:r>
      <w:r w:rsidR="0096284A" w:rsidRPr="00117C05">
        <w:t>ei kata selliseid rikkeid</w:t>
      </w:r>
      <w:r w:rsidRPr="00117C05">
        <w:t>, mi</w:t>
      </w:r>
      <w:r w:rsidR="006B1694" w:rsidRPr="00117C05">
        <w:t xml:space="preserve">s </w:t>
      </w:r>
      <w:r w:rsidRPr="00117C05">
        <w:t>on põhjustatud Seadme</w:t>
      </w:r>
      <w:r w:rsidR="00320B75" w:rsidRPr="00117C05">
        <w:t>te</w:t>
      </w:r>
      <w:r w:rsidR="00734C4C" w:rsidRPr="00117C05">
        <w:t xml:space="preserve"> ekspluatatsiooni </w:t>
      </w:r>
      <w:r w:rsidR="00877DE7" w:rsidRPr="00117C05">
        <w:t>tingimusi reguleeriva juhendi</w:t>
      </w:r>
      <w:r w:rsidR="00734C4C" w:rsidRPr="00117C05">
        <w:t xml:space="preserve"> mittejärgmisest või </w:t>
      </w:r>
      <w:r w:rsidR="00FC68D5" w:rsidRPr="00117C05">
        <w:t xml:space="preserve">Seadmete </w:t>
      </w:r>
      <w:r w:rsidRPr="00117C05">
        <w:t>mittesihipärasest kasutamisest</w:t>
      </w:r>
      <w:r w:rsidR="00EB2462" w:rsidRPr="00117C05">
        <w:t>.</w:t>
      </w:r>
      <w:r w:rsidR="004F59AA" w:rsidRPr="00117C05">
        <w:t xml:space="preserve"> </w:t>
      </w:r>
    </w:p>
    <w:p w14:paraId="13E473B8" w14:textId="6B2550FA" w:rsidR="00C11848" w:rsidRPr="00117C05" w:rsidRDefault="0080446E" w:rsidP="006D229C">
      <w:pPr>
        <w:pStyle w:val="2ndlevelprovision"/>
      </w:pPr>
      <w:r w:rsidRPr="00117C05">
        <w:t>Tellija peab teavitama Töövõtja</w:t>
      </w:r>
      <w:r w:rsidR="00877DE7" w:rsidRPr="00117C05">
        <w:t>t remontöödel ilmnenud puudustes</w:t>
      </w:r>
      <w:r w:rsidR="006B1694" w:rsidRPr="00117C05">
        <w:t>t</w:t>
      </w:r>
      <w:r w:rsidR="00877DE7" w:rsidRPr="00117C05">
        <w:t xml:space="preserve"> viivitamatult.</w:t>
      </w:r>
      <w:r w:rsidR="00601CA9">
        <w:t xml:space="preserve"> </w:t>
      </w:r>
      <w:r w:rsidR="002A7906">
        <w:t>Lepingu punktis 12.3 nimetatud kontaktisikule.</w:t>
      </w:r>
      <w:r w:rsidR="00601CA9">
        <w:t xml:space="preserve"> </w:t>
      </w:r>
      <w:r w:rsidR="00877DE7" w:rsidRPr="00117C05">
        <w:t xml:space="preserve">Kui puudustest </w:t>
      </w:r>
      <w:r w:rsidR="00803A49" w:rsidRPr="00117C05">
        <w:t>teavitamisega viivitamine põhjustab garantiitööde mahu suurenemise, siis Töövõtja vabaneb garantiikohustuses</w:t>
      </w:r>
      <w:r w:rsidR="005562C0" w:rsidRPr="00117C05">
        <w:t>t</w:t>
      </w:r>
      <w:r w:rsidR="00803A49" w:rsidRPr="00117C05">
        <w:t xml:space="preserve">. </w:t>
      </w:r>
    </w:p>
    <w:p w14:paraId="698F7B2D" w14:textId="62CB91E9" w:rsidR="004F59AA" w:rsidRPr="00117C05" w:rsidRDefault="004F59AA" w:rsidP="00FE3B6B">
      <w:pPr>
        <w:pStyle w:val="2ndlevelprovision"/>
        <w:numPr>
          <w:ilvl w:val="0"/>
          <w:numId w:val="0"/>
        </w:numPr>
        <w:ind w:left="567"/>
      </w:pPr>
    </w:p>
    <w:p w14:paraId="3E381FA4"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INTELLEKTUAALNE OMAND</w:t>
      </w:r>
    </w:p>
    <w:p w14:paraId="0A22A4D8" w14:textId="77777777" w:rsidR="00790ED6" w:rsidRPr="00117C05" w:rsidRDefault="00790ED6" w:rsidP="006D229C">
      <w:pPr>
        <w:pStyle w:val="2ndlevelprovision"/>
      </w:pPr>
      <w:r w:rsidRPr="00117C05">
        <w:t xml:space="preserve">Kumbki Pool tunnustab teise Poole õigust tema toodete, teenuste ja äritegevusega seotud intellektuaalsele omandile, sealhulgas teostele nagu kirjeldused, aruanded, plaanid, skeemid, projektid jne ning selliste teoste vaheetappide resultaatidele (edaspidi </w:t>
      </w:r>
      <w:r w:rsidRPr="00117C05">
        <w:rPr>
          <w:b/>
        </w:rPr>
        <w:t>Intellektuaalne Omand</w:t>
      </w:r>
      <w:r w:rsidRPr="00117C05">
        <w:t>). Pooled ei omanda käesoleva Lepingu alusel mis tahes õigusi teise Poole Intellektuaalsele Omandile.</w:t>
      </w:r>
    </w:p>
    <w:p w14:paraId="6E1AAE8F" w14:textId="77777777" w:rsidR="00790ED6" w:rsidRPr="00117C05" w:rsidRDefault="00790ED6" w:rsidP="006D229C">
      <w:pPr>
        <w:pStyle w:val="2ndlevelprovision"/>
      </w:pPr>
      <w:r w:rsidRPr="00117C05">
        <w:t>Pooled annavad üksteisele õiguse ja litsentsi neile kuuluva sellise Intellektuaalse Omandi kasutamiseks, mis on vajalik käesoleva Lepingu täitmiseks. Ühe Poole poolt teisele Poolele dokumentide ja muude materjalide edastamisel eeldatakse, et see Pool on andnud teisele Poolele õiguse ja litsentsi selliste dokumentide, materjalide ja Intellektuaalse Omandi kasutamiseks Lepingu kehtivuse ajal ilma vastutasuta ning ulatuses, mis on vajalik käesolevast Lepingust ja selle alusel kokku lepitud konkreetsetest projektidest Poolele tekkivate kohustuste täitmiseks, väljaarvatud juhul, kui Pooled on selgelt vastupidises kokku leppinud.</w:t>
      </w:r>
    </w:p>
    <w:p w14:paraId="10A797B7" w14:textId="792FFAF0"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lastRenderedPageBreak/>
        <w:t>Konfidentsiaalsus</w:t>
      </w:r>
    </w:p>
    <w:p w14:paraId="28716A6E" w14:textId="77777777" w:rsidR="001247CA" w:rsidRPr="00117C05" w:rsidRDefault="001247CA" w:rsidP="001247CA">
      <w:pPr>
        <w:pStyle w:val="Style1"/>
        <w:numPr>
          <w:ilvl w:val="1"/>
          <w:numId w:val="11"/>
        </w:numPr>
        <w:tabs>
          <w:tab w:val="clear" w:pos="964"/>
          <w:tab w:val="num" w:pos="567"/>
        </w:tabs>
        <w:ind w:left="567" w:hanging="567"/>
      </w:pPr>
      <w:r w:rsidRPr="00117C05">
        <w:t xml:space="preserve">Kui seadus teisiti ei nõua või kui Lepingu eesmärkide elluviimisest teisiti ei tulene, kohustuvad Pooled käesoleva Lepingu sisu ja/või mis tahes teadmisi, informatsiooni või andmeid teise Poole äritegevuse või toodete kohta (edaspidi </w:t>
      </w:r>
      <w:r w:rsidRPr="00117C05">
        <w:rPr>
          <w:b/>
        </w:rPr>
        <w:t>Konfidentsiaalne Informatsioon</w:t>
      </w:r>
      <w:r w:rsidRPr="00117C05">
        <w:t>), mida talle avaldatakse või millest ta saab teatavaks Lepingu täitmise tõttu (välja arvatud avalikest allikatest kättesaadav informatsioon), salajas hoidma, mitte avaldama ning mitte enda ega mis tahes muu isiku või organi huvides kasutama.</w:t>
      </w:r>
    </w:p>
    <w:p w14:paraId="6CC80C7C" w14:textId="77777777" w:rsidR="00973385" w:rsidRPr="00117C05" w:rsidRDefault="001247CA" w:rsidP="00973385">
      <w:pPr>
        <w:pStyle w:val="Style1"/>
        <w:numPr>
          <w:ilvl w:val="1"/>
          <w:numId w:val="11"/>
        </w:numPr>
        <w:tabs>
          <w:tab w:val="clear" w:pos="964"/>
          <w:tab w:val="num" w:pos="567"/>
        </w:tabs>
        <w:ind w:left="567" w:hanging="567"/>
      </w:pPr>
      <w:r w:rsidRPr="00117C05">
        <w:t>Pooled nõustuvad omal kulul kasutusele võtma kõiki meetmeid hoidmaks ära oma töötajate (sealhulgas käsundus- või töövõtulepingu alusel töötavate isikute, juhatuse liikmete ja praktikantide), nõustajate või esindajate poolt Konfidentsiaalse Informatsiooni keelatud või omavolilist avaldamist või kasutamist, samuti nimetatud isikute poolt teise Poole Intellektuaalse Omandi õiguste registreerimist</w:t>
      </w:r>
      <w:r w:rsidR="00973385" w:rsidRPr="00117C05">
        <w:t>.</w:t>
      </w:r>
    </w:p>
    <w:p w14:paraId="6F6772F5" w14:textId="741B1C5E" w:rsidR="00973385" w:rsidRPr="00117C05" w:rsidRDefault="00973385" w:rsidP="00973385">
      <w:pPr>
        <w:pStyle w:val="Style1"/>
        <w:numPr>
          <w:ilvl w:val="1"/>
          <w:numId w:val="11"/>
        </w:numPr>
        <w:tabs>
          <w:tab w:val="clear" w:pos="964"/>
          <w:tab w:val="num" w:pos="567"/>
        </w:tabs>
        <w:ind w:left="567" w:hanging="567"/>
      </w:pPr>
      <w:r w:rsidRPr="00117C05">
        <w:t>Teise Poole nõudel hävitab Pool kogu tema valduses oleva teise Poole Konfidentsiaalse Informatsiooni 7 (seitsme) päeva jooksul vastava korralduse saamisest ning esitab selle kohta teisele Poolele kirjaliku kinnituse.</w:t>
      </w:r>
    </w:p>
    <w:p w14:paraId="3266BB02" w14:textId="77777777" w:rsidR="001554F5" w:rsidRPr="00117C05" w:rsidRDefault="001247CA" w:rsidP="001554F5">
      <w:pPr>
        <w:pStyle w:val="Style1"/>
        <w:numPr>
          <w:ilvl w:val="1"/>
          <w:numId w:val="11"/>
        </w:numPr>
        <w:tabs>
          <w:tab w:val="clear" w:pos="964"/>
          <w:tab w:val="num" w:pos="567"/>
        </w:tabs>
        <w:ind w:left="567" w:hanging="567"/>
      </w:pPr>
      <w:r w:rsidRPr="00117C05">
        <w:t>Kui Poolel on seadusest või kohtuotsusest tulenev kohustus Konfidentsiaalset Informatsiooni avaldada ametiasutustele võib Pool Konfidentsiaalset Informatsiooni avaldada üksnes  asjaomastele ametiasutustele. Seaduses lubatud juhtudel ja ulatuses teavitab Pool teist Poolt teise Poole Konfidentsiaalse Informatsiooni avaldamise vajadusest enne teabe avaldamist, et võimaldada teisel Poolel võtta oma õiguste kaitseks vajalikke meetmeid.</w:t>
      </w:r>
    </w:p>
    <w:p w14:paraId="72C7F64E"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VASTUTUS</w:t>
      </w:r>
    </w:p>
    <w:p w14:paraId="7C40FB21" w14:textId="625805F4" w:rsidR="00790ED6" w:rsidRPr="00117C05" w:rsidRDefault="00790ED6" w:rsidP="006D229C">
      <w:pPr>
        <w:pStyle w:val="2ndlevelprovision"/>
      </w:pPr>
      <w:r w:rsidRPr="00117C05">
        <w:t>Pool</w:t>
      </w:r>
      <w:r w:rsidR="0099313B" w:rsidRPr="00117C05">
        <w:t>t</w:t>
      </w:r>
      <w:r w:rsidRPr="00117C05">
        <w:t>e vastutus on piiratud</w:t>
      </w:r>
      <w:r w:rsidR="0099313B" w:rsidRPr="00117C05">
        <w:t xml:space="preserve"> </w:t>
      </w:r>
      <w:r w:rsidR="00343357" w:rsidRPr="00117C05">
        <w:t xml:space="preserve">Lepingu alusel teostamisele kuuluvate </w:t>
      </w:r>
      <w:r w:rsidR="009B147A" w:rsidRPr="00117C05">
        <w:t>korraliste hooldus</w:t>
      </w:r>
      <w:r w:rsidR="0099313B" w:rsidRPr="00117C05">
        <w:t>tööde</w:t>
      </w:r>
      <w:r w:rsidR="009B147A" w:rsidRPr="00117C05">
        <w:t xml:space="preserve"> ja erakorraliste remonttööde</w:t>
      </w:r>
      <w:r w:rsidR="0099313B" w:rsidRPr="00117C05">
        <w:t xml:space="preserve"> maksimaalse maksumusega</w:t>
      </w:r>
      <w:r w:rsidRPr="00117C05">
        <w:t>. Kumbki pool vastutab kahju hüvitamise eest üksnes juhul, kui ta on kahju tekitamises süüdi. Kumbki Pool ei vastuta ühelgi juhul Lepingu rikkumise tõttu teise Poole saamata jäänud tulu eest. Käesolevas punktis toodud vastutuse piirangud ja välistused ei kehti juhul, kui vastavalt kohalduvatele õigusaktidele, ei saa sellist vastutust piirata või välistada.</w:t>
      </w:r>
    </w:p>
    <w:p w14:paraId="63EF174C"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Vääramatu jõud</w:t>
      </w:r>
    </w:p>
    <w:p w14:paraId="665DB79E" w14:textId="77777777" w:rsidR="00790ED6" w:rsidRPr="00117C05" w:rsidRDefault="00790ED6" w:rsidP="006D229C">
      <w:pPr>
        <w:pStyle w:val="2ndlevelprovision"/>
      </w:pPr>
      <w:r w:rsidRPr="00117C05">
        <w:t>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Vääramatu jõu esinemine peab olema tõendatud selle Poole poolt, kes soovib viidata nimetatud asjaoludele kui alusele, et vabaneda seadusest tulenevast ja/või Lepingus sätestatud vastutusest endale Lepinguga võetud kohustuste mittetäitmise või mittevastava täitmise eest. Vääramatuks jõuks ei ole Lepingu tähenduses Poole majandusliku olukorra muutus, halvad ilmastikuolud, hinnatõus, puhkus, pankrot ega ka pankrotihoiatus või hagi tagamine. Vääramatu jõu mõiste sisustamisel lähtuvad Pooled Eesti Vabariigi võlaõigusseaduses sätestatust.</w:t>
      </w:r>
    </w:p>
    <w:p w14:paraId="345A0FA7" w14:textId="11A06E99" w:rsidR="00790ED6" w:rsidRPr="00117C05" w:rsidRDefault="00790ED6" w:rsidP="006D229C">
      <w:pPr>
        <w:pStyle w:val="2ndlevelprovision"/>
      </w:pPr>
      <w:r w:rsidRPr="00117C05">
        <w:t>Vääramatu jõu esinemisest tuleb teist Poolt viivitamatult kirjalikul</w:t>
      </w:r>
      <w:r w:rsidR="00343357" w:rsidRPr="00117C05">
        <w:t xml:space="preserve"> taas</w:t>
      </w:r>
      <w:r w:rsidR="00601CA9">
        <w:t xml:space="preserve"> </w:t>
      </w:r>
      <w:r w:rsidR="00343357" w:rsidRPr="00117C05">
        <w:t>esitatavas vormis</w:t>
      </w:r>
      <w:r w:rsidRPr="00117C05">
        <w:t xml:space="preserve"> informeerida.</w:t>
      </w:r>
    </w:p>
    <w:p w14:paraId="7E1738AE" w14:textId="4C4D7BFA" w:rsidR="00790ED6" w:rsidRPr="00117C05" w:rsidRDefault="00343357" w:rsidP="00343357">
      <w:pPr>
        <w:pStyle w:val="Style1"/>
        <w:numPr>
          <w:ilvl w:val="1"/>
          <w:numId w:val="11"/>
        </w:numPr>
        <w:tabs>
          <w:tab w:val="clear" w:pos="964"/>
          <w:tab w:val="num" w:pos="567"/>
        </w:tabs>
        <w:ind w:left="567" w:hanging="567"/>
      </w:pPr>
      <w:r w:rsidRPr="00117C05">
        <w:t>Vääramatu jõu esinemisel lükkuvad Lepingus sätestatud tähtajad edasi vääramatu mõju kestvuse ja selle lõppemisel Lepingu täitmise taastamiseks vajaliku aja võrra. Vääramatu jõu esinemisel kestusega üle 2 (kahe) kalendrikuu on kummalgi Poolel õigus Lepingust taganeda või Leping üles öelda.</w:t>
      </w:r>
    </w:p>
    <w:p w14:paraId="5BE66232"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lastRenderedPageBreak/>
        <w:t>TEATED</w:t>
      </w:r>
    </w:p>
    <w:p w14:paraId="30520317" w14:textId="77777777" w:rsidR="00790ED6" w:rsidRPr="00117C05" w:rsidRDefault="00790ED6" w:rsidP="006D229C">
      <w:pPr>
        <w:pStyle w:val="2ndlevelprovision"/>
      </w:pPr>
      <w:r w:rsidRPr="00117C05">
        <w:t xml:space="preserve">Poolte vahelised Lepinguga seotud teated ja tahteavaldused (edaspidi </w:t>
      </w:r>
      <w:r w:rsidRPr="00117C05">
        <w:rPr>
          <w:b/>
        </w:rPr>
        <w:t>Teated</w:t>
      </w:r>
      <w:r w:rsidRPr="00117C05">
        <w:t>) esitatakse vahetult, telefoni, posti või elektroonilise posti teel. Lepingu rikkumisest teatamine toimub ainult kirjalikus vormis.</w:t>
      </w:r>
    </w:p>
    <w:p w14:paraId="554D448C" w14:textId="52BFAD16" w:rsidR="00790ED6" w:rsidRPr="00117C05" w:rsidRDefault="00790ED6" w:rsidP="006D229C">
      <w:pPr>
        <w:pStyle w:val="2ndlevelprovision"/>
      </w:pPr>
      <w:r w:rsidRPr="00117C05">
        <w:t>Kirjalik Teade loetakse kätte</w:t>
      </w:r>
      <w:r w:rsidR="00601CA9">
        <w:t xml:space="preserve"> </w:t>
      </w:r>
      <w:r w:rsidRPr="00117C05">
        <w:t>saaduks, kui:</w:t>
      </w:r>
    </w:p>
    <w:p w14:paraId="104B9BBC" w14:textId="77777777" w:rsidR="00790ED6" w:rsidRPr="00117C05" w:rsidRDefault="00790ED6" w:rsidP="006D229C">
      <w:pPr>
        <w:numPr>
          <w:ilvl w:val="2"/>
          <w:numId w:val="28"/>
        </w:numPr>
        <w:spacing w:before="120" w:after="120"/>
        <w:jc w:val="both"/>
        <w:outlineLvl w:val="2"/>
        <w:rPr>
          <w:rFonts w:eastAsia="Times New Roman" w:cs="Times New Roman"/>
          <w:sz w:val="24"/>
          <w:szCs w:val="24"/>
        </w:rPr>
      </w:pPr>
      <w:r w:rsidRPr="00117C05">
        <w:rPr>
          <w:rFonts w:eastAsia="Times New Roman" w:cs="Times New Roman"/>
          <w:sz w:val="24"/>
          <w:szCs w:val="24"/>
        </w:rPr>
        <w:t>Teade on üle antud allkirja vastu;</w:t>
      </w:r>
    </w:p>
    <w:p w14:paraId="3FA22BDA" w14:textId="365BF5D5" w:rsidR="00790ED6" w:rsidRPr="00117C05" w:rsidRDefault="00790ED6" w:rsidP="006D229C">
      <w:pPr>
        <w:numPr>
          <w:ilvl w:val="2"/>
          <w:numId w:val="28"/>
        </w:numPr>
        <w:spacing w:before="120" w:after="120"/>
        <w:jc w:val="both"/>
        <w:outlineLvl w:val="2"/>
        <w:rPr>
          <w:rFonts w:eastAsia="Times New Roman" w:cs="Times New Roman"/>
          <w:sz w:val="24"/>
          <w:szCs w:val="24"/>
        </w:rPr>
      </w:pPr>
      <w:r w:rsidRPr="00117C05">
        <w:rPr>
          <w:rFonts w:eastAsia="Times New Roman" w:cs="Times New Roman"/>
          <w:sz w:val="24"/>
          <w:szCs w:val="24"/>
        </w:rPr>
        <w:t xml:space="preserve">Teade on saadetud tähitud kirjaga teise Poole Lepingu punktis </w:t>
      </w:r>
      <w:r w:rsidRPr="00117C05">
        <w:rPr>
          <w:rFonts w:eastAsia="Times New Roman" w:cs="Times New Roman"/>
          <w:sz w:val="24"/>
          <w:szCs w:val="24"/>
        </w:rPr>
        <w:fldChar w:fldCharType="begin"/>
      </w:r>
      <w:r w:rsidRPr="00117C05">
        <w:rPr>
          <w:rFonts w:eastAsia="Times New Roman" w:cs="Times New Roman"/>
          <w:sz w:val="24"/>
          <w:szCs w:val="24"/>
        </w:rPr>
        <w:instrText xml:space="preserve"> REF _Ref1426745 \r \h  \* MERGEFORMAT </w:instrText>
      </w:r>
      <w:r w:rsidRPr="00117C05">
        <w:rPr>
          <w:rFonts w:eastAsia="Times New Roman" w:cs="Times New Roman"/>
          <w:sz w:val="24"/>
          <w:szCs w:val="24"/>
        </w:rPr>
      </w:r>
      <w:r w:rsidRPr="00117C05">
        <w:rPr>
          <w:rFonts w:eastAsia="Times New Roman" w:cs="Times New Roman"/>
          <w:sz w:val="24"/>
          <w:szCs w:val="24"/>
        </w:rPr>
        <w:fldChar w:fldCharType="separate"/>
      </w:r>
      <w:r w:rsidR="00AE1B74">
        <w:rPr>
          <w:rFonts w:eastAsia="Times New Roman" w:cs="Times New Roman"/>
          <w:sz w:val="24"/>
          <w:szCs w:val="24"/>
        </w:rPr>
        <w:t>12.3</w:t>
      </w:r>
      <w:r w:rsidRPr="00117C05">
        <w:rPr>
          <w:rFonts w:eastAsia="Times New Roman" w:cs="Times New Roman"/>
          <w:sz w:val="24"/>
          <w:szCs w:val="24"/>
        </w:rPr>
        <w:fldChar w:fldCharType="end"/>
      </w:r>
      <w:r w:rsidRPr="00117C05">
        <w:rPr>
          <w:rFonts w:eastAsia="Times New Roman" w:cs="Times New Roman"/>
          <w:sz w:val="24"/>
          <w:szCs w:val="24"/>
        </w:rPr>
        <w:t xml:space="preserve"> sätestatud aadressil ja Teate üleandmisest postiasutusele on möödunud 7 (seitse) päeva.</w:t>
      </w:r>
      <w:bookmarkStart w:id="4" w:name="_Ref488999917"/>
    </w:p>
    <w:p w14:paraId="4B7918A5" w14:textId="77777777" w:rsidR="00790ED6" w:rsidRPr="00117C05" w:rsidRDefault="00790ED6" w:rsidP="006D229C">
      <w:pPr>
        <w:pStyle w:val="2ndlevelprovision"/>
      </w:pPr>
      <w:bookmarkStart w:id="5" w:name="_Ref1426745"/>
      <w:r w:rsidRPr="00117C05">
        <w:t>Lepinguga seotud teated tuleb edastada järgmistele Poolte kontaktidele:</w:t>
      </w:r>
      <w:bookmarkEnd w:id="4"/>
      <w:bookmarkEnd w:id="5"/>
    </w:p>
    <w:tbl>
      <w:tblPr>
        <w:tblStyle w:val="TableGrid"/>
        <w:tblW w:w="52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5"/>
      </w:tblGrid>
      <w:tr w:rsidR="00790ED6" w:rsidRPr="00117C05" w14:paraId="1D749D90" w14:textId="77777777" w:rsidTr="00922203">
        <w:trPr>
          <w:gridAfter w:val="1"/>
          <w:wAfter w:w="855" w:type="dxa"/>
        </w:trPr>
        <w:tc>
          <w:tcPr>
            <w:tcW w:w="4395" w:type="dxa"/>
            <w:hideMark/>
          </w:tcPr>
          <w:p w14:paraId="7FB35298" w14:textId="147BA165" w:rsidR="00790ED6" w:rsidRPr="00117C05" w:rsidRDefault="005C6BA1" w:rsidP="006D229C">
            <w:pPr>
              <w:spacing w:before="120" w:after="120"/>
              <w:jc w:val="both"/>
              <w:outlineLvl w:val="1"/>
              <w:rPr>
                <w:rFonts w:eastAsia="Times New Roman" w:cs="Times New Roman"/>
                <w:b/>
                <w:sz w:val="24"/>
                <w:szCs w:val="24"/>
              </w:rPr>
            </w:pPr>
            <w:r>
              <w:rPr>
                <w:rFonts w:eastAsia="Times New Roman" w:cs="Times New Roman"/>
                <w:b/>
                <w:sz w:val="24"/>
                <w:szCs w:val="24"/>
              </w:rPr>
              <w:t>BM</w:t>
            </w:r>
            <w:r w:rsidR="00313029">
              <w:rPr>
                <w:rFonts w:eastAsia="Times New Roman" w:cs="Times New Roman"/>
                <w:b/>
                <w:sz w:val="24"/>
                <w:szCs w:val="24"/>
              </w:rPr>
              <w:t>G Energy OÜ</w:t>
            </w:r>
          </w:p>
        </w:tc>
      </w:tr>
      <w:tr w:rsidR="00790ED6" w:rsidRPr="00117C05" w14:paraId="69DD58D4" w14:textId="77777777" w:rsidTr="00922203">
        <w:trPr>
          <w:gridAfter w:val="1"/>
          <w:wAfter w:w="855" w:type="dxa"/>
        </w:trPr>
        <w:tc>
          <w:tcPr>
            <w:tcW w:w="4395" w:type="dxa"/>
            <w:hideMark/>
          </w:tcPr>
          <w:p w14:paraId="1DCD5908" w14:textId="10C9CFE3" w:rsidR="00790ED6" w:rsidRPr="00117C05" w:rsidRDefault="00790ED6" w:rsidP="006D229C">
            <w:pPr>
              <w:spacing w:before="120" w:after="120"/>
              <w:jc w:val="both"/>
              <w:outlineLvl w:val="1"/>
              <w:rPr>
                <w:rFonts w:eastAsia="Times New Roman" w:cs="Times New Roman"/>
                <w:sz w:val="24"/>
                <w:szCs w:val="24"/>
              </w:rPr>
            </w:pPr>
            <w:r w:rsidRPr="00117C05">
              <w:rPr>
                <w:rFonts w:eastAsia="Times New Roman" w:cs="Times New Roman"/>
                <w:sz w:val="24"/>
                <w:szCs w:val="24"/>
              </w:rPr>
              <w:t>Aadress: Paljassaare tee 1</w:t>
            </w:r>
            <w:r w:rsidR="00313029">
              <w:rPr>
                <w:rFonts w:eastAsia="Times New Roman" w:cs="Times New Roman"/>
                <w:sz w:val="24"/>
                <w:szCs w:val="24"/>
              </w:rPr>
              <w:t>6</w:t>
            </w:r>
            <w:r w:rsidRPr="00117C05">
              <w:rPr>
                <w:rFonts w:eastAsia="Times New Roman" w:cs="Times New Roman"/>
                <w:sz w:val="24"/>
                <w:szCs w:val="24"/>
              </w:rPr>
              <w:t>, Tallinn 10313</w:t>
            </w:r>
          </w:p>
        </w:tc>
      </w:tr>
      <w:tr w:rsidR="00790ED6" w:rsidRPr="00117C05" w14:paraId="0B069777" w14:textId="77777777" w:rsidTr="00922203">
        <w:trPr>
          <w:gridAfter w:val="1"/>
          <w:wAfter w:w="855" w:type="dxa"/>
        </w:trPr>
        <w:tc>
          <w:tcPr>
            <w:tcW w:w="4395" w:type="dxa"/>
            <w:hideMark/>
          </w:tcPr>
          <w:p w14:paraId="6BA59D72" w14:textId="0B202401" w:rsidR="00790ED6" w:rsidRPr="00117C05" w:rsidRDefault="00790ED6" w:rsidP="006D229C">
            <w:pPr>
              <w:spacing w:before="120" w:after="120"/>
              <w:jc w:val="both"/>
              <w:outlineLvl w:val="1"/>
              <w:rPr>
                <w:rFonts w:eastAsia="Times New Roman" w:cs="Times New Roman"/>
                <w:sz w:val="24"/>
                <w:szCs w:val="24"/>
              </w:rPr>
            </w:pPr>
            <w:r w:rsidRPr="00117C05">
              <w:rPr>
                <w:rFonts w:eastAsia="Times New Roman" w:cs="Times New Roman"/>
                <w:sz w:val="24"/>
                <w:szCs w:val="24"/>
              </w:rPr>
              <w:t xml:space="preserve">Kontaktisik: </w:t>
            </w:r>
            <w:r w:rsidR="00941CEF" w:rsidRPr="00117C05">
              <w:rPr>
                <w:rFonts w:eastAsia="Times New Roman" w:cs="Times New Roman"/>
                <w:sz w:val="24"/>
                <w:szCs w:val="24"/>
              </w:rPr>
              <w:t>Kalmer Kroonberg</w:t>
            </w:r>
          </w:p>
          <w:p w14:paraId="4B9615D9" w14:textId="731FC127" w:rsidR="00EC2B96" w:rsidRPr="00117C05" w:rsidRDefault="00790ED6" w:rsidP="006D229C">
            <w:pPr>
              <w:spacing w:before="120" w:after="120"/>
              <w:jc w:val="both"/>
              <w:outlineLvl w:val="1"/>
              <w:rPr>
                <w:rFonts w:eastAsia="Times New Roman" w:cs="Times New Roman"/>
                <w:sz w:val="24"/>
                <w:szCs w:val="24"/>
              </w:rPr>
            </w:pPr>
            <w:r w:rsidRPr="00117C05">
              <w:rPr>
                <w:rFonts w:eastAsia="Times New Roman" w:cs="Times New Roman"/>
                <w:sz w:val="24"/>
                <w:szCs w:val="24"/>
              </w:rPr>
              <w:t xml:space="preserve">Telefon: </w:t>
            </w:r>
            <w:r w:rsidR="00941CEF" w:rsidRPr="00117C05">
              <w:rPr>
                <w:rFonts w:eastAsia="Times New Roman" w:cs="Times New Roman"/>
                <w:sz w:val="24"/>
                <w:szCs w:val="24"/>
              </w:rPr>
              <w:t>+372 56 211123</w:t>
            </w:r>
            <w:r w:rsidRPr="00117C05">
              <w:rPr>
                <w:rFonts w:eastAsia="Times New Roman" w:cs="Times New Roman"/>
                <w:sz w:val="24"/>
                <w:szCs w:val="24"/>
              </w:rPr>
              <w:t xml:space="preserve"> </w:t>
            </w:r>
          </w:p>
          <w:p w14:paraId="57D1145A" w14:textId="1E60061A" w:rsidR="00790ED6" w:rsidRPr="00117C05" w:rsidRDefault="00790ED6" w:rsidP="006D229C">
            <w:pPr>
              <w:spacing w:before="120" w:after="120"/>
              <w:jc w:val="both"/>
              <w:outlineLvl w:val="1"/>
              <w:rPr>
                <w:rFonts w:eastAsia="Times New Roman" w:cs="Times New Roman"/>
                <w:sz w:val="24"/>
                <w:szCs w:val="24"/>
              </w:rPr>
            </w:pPr>
            <w:r w:rsidRPr="00117C05">
              <w:rPr>
                <w:rFonts w:eastAsia="Times New Roman" w:cs="Times New Roman"/>
                <w:sz w:val="24"/>
                <w:szCs w:val="24"/>
              </w:rPr>
              <w:t>E-posti aadress:</w:t>
            </w:r>
            <w:r w:rsidR="00601CA9">
              <w:rPr>
                <w:rFonts w:eastAsia="Times New Roman" w:cs="Times New Roman"/>
                <w:sz w:val="24"/>
                <w:szCs w:val="24"/>
              </w:rPr>
              <w:t xml:space="preserve"> </w:t>
            </w:r>
            <w:r w:rsidR="00941CEF" w:rsidRPr="00117C05">
              <w:rPr>
                <w:rFonts w:eastAsia="Times New Roman" w:cs="Times New Roman"/>
                <w:sz w:val="24"/>
                <w:szCs w:val="24"/>
              </w:rPr>
              <w:t>kalmer.kroonberg@bm.ee</w:t>
            </w:r>
          </w:p>
        </w:tc>
      </w:tr>
      <w:tr w:rsidR="00790ED6" w:rsidRPr="00076C74" w14:paraId="2E0B11ED" w14:textId="77777777" w:rsidTr="00922203">
        <w:tc>
          <w:tcPr>
            <w:tcW w:w="5250" w:type="dxa"/>
            <w:gridSpan w:val="2"/>
            <w:hideMark/>
          </w:tcPr>
          <w:p w14:paraId="16ED70BF" w14:textId="5DB293E3" w:rsidR="00790ED6" w:rsidRPr="00076C74" w:rsidRDefault="0050591C" w:rsidP="006D229C">
            <w:pPr>
              <w:spacing w:before="120" w:after="120"/>
              <w:jc w:val="both"/>
              <w:outlineLvl w:val="1"/>
              <w:rPr>
                <w:rFonts w:eastAsia="Times New Roman" w:cs="Times New Roman"/>
                <w:b/>
                <w:bCs/>
                <w:sz w:val="24"/>
                <w:szCs w:val="24"/>
              </w:rPr>
            </w:pPr>
            <w:r w:rsidRPr="0050591C">
              <w:rPr>
                <w:rFonts w:eastAsia="Times New Roman" w:cs="Times New Roman"/>
                <w:b/>
                <w:bCs/>
                <w:sz w:val="24"/>
                <w:szCs w:val="24"/>
              </w:rPr>
              <w:t>Tarbijakaitse ja Tehnilise Järelevalve Amet</w:t>
            </w:r>
          </w:p>
        </w:tc>
      </w:tr>
      <w:tr w:rsidR="00790ED6" w:rsidRPr="00117C05" w14:paraId="26C3196B" w14:textId="77777777" w:rsidTr="00922203">
        <w:tc>
          <w:tcPr>
            <w:tcW w:w="5250" w:type="dxa"/>
            <w:gridSpan w:val="2"/>
            <w:hideMark/>
          </w:tcPr>
          <w:p w14:paraId="79BB6FF6" w14:textId="4221DC87" w:rsidR="00790ED6" w:rsidRPr="00117C05" w:rsidRDefault="00790ED6" w:rsidP="006D229C">
            <w:pPr>
              <w:spacing w:before="120" w:after="120"/>
              <w:jc w:val="both"/>
              <w:outlineLvl w:val="1"/>
              <w:rPr>
                <w:rFonts w:eastAsia="Times New Roman" w:cs="Times New Roman"/>
                <w:sz w:val="24"/>
                <w:szCs w:val="24"/>
              </w:rPr>
            </w:pPr>
            <w:r w:rsidRPr="00117C05">
              <w:rPr>
                <w:rFonts w:eastAsia="Times New Roman" w:cs="Times New Roman"/>
                <w:sz w:val="24"/>
                <w:szCs w:val="24"/>
              </w:rPr>
              <w:t xml:space="preserve">Aadress: </w:t>
            </w:r>
            <w:r w:rsidR="0050591C">
              <w:rPr>
                <w:rFonts w:eastAsia="Times New Roman" w:cs="Times New Roman"/>
                <w:sz w:val="24"/>
                <w:szCs w:val="24"/>
              </w:rPr>
              <w:t>Endla tn 10a, 10122 Tallinn</w:t>
            </w:r>
          </w:p>
        </w:tc>
      </w:tr>
      <w:tr w:rsidR="00790ED6" w:rsidRPr="00117C05" w14:paraId="5FEE5F47" w14:textId="77777777" w:rsidTr="00922203">
        <w:tc>
          <w:tcPr>
            <w:tcW w:w="5250" w:type="dxa"/>
            <w:gridSpan w:val="2"/>
            <w:hideMark/>
          </w:tcPr>
          <w:p w14:paraId="25B2EAD3" w14:textId="778C62CF" w:rsidR="00790ED6" w:rsidRPr="00D84892" w:rsidRDefault="00790ED6" w:rsidP="006D229C">
            <w:pPr>
              <w:spacing w:before="120" w:after="120"/>
              <w:jc w:val="both"/>
              <w:outlineLvl w:val="1"/>
              <w:rPr>
                <w:rFonts w:eastAsia="Times New Roman" w:cs="Times New Roman"/>
                <w:sz w:val="24"/>
                <w:szCs w:val="24"/>
              </w:rPr>
            </w:pPr>
            <w:r w:rsidRPr="00D84892">
              <w:rPr>
                <w:rFonts w:eastAsia="Times New Roman" w:cs="Times New Roman"/>
                <w:sz w:val="24"/>
                <w:szCs w:val="24"/>
              </w:rPr>
              <w:t xml:space="preserve">Kontaktisik: </w:t>
            </w:r>
            <w:r w:rsidR="00D84892">
              <w:rPr>
                <w:rFonts w:eastAsia="Times New Roman" w:cs="Times New Roman"/>
                <w:sz w:val="24"/>
                <w:szCs w:val="24"/>
              </w:rPr>
              <w:t>Aivar Tuisk</w:t>
            </w:r>
          </w:p>
          <w:p w14:paraId="5BE76908" w14:textId="2EF324D5" w:rsidR="00790ED6" w:rsidRPr="004B1095" w:rsidRDefault="00790ED6" w:rsidP="006D229C">
            <w:pPr>
              <w:spacing w:before="120" w:after="120"/>
              <w:jc w:val="both"/>
              <w:outlineLvl w:val="1"/>
              <w:rPr>
                <w:rFonts w:eastAsia="Times New Roman" w:cs="Times New Roman"/>
                <w:sz w:val="24"/>
                <w:szCs w:val="24"/>
              </w:rPr>
            </w:pPr>
            <w:r w:rsidRPr="004B1095">
              <w:rPr>
                <w:rFonts w:eastAsia="Times New Roman" w:cs="Times New Roman"/>
                <w:sz w:val="24"/>
                <w:szCs w:val="24"/>
              </w:rPr>
              <w:t xml:space="preserve">Telefon: </w:t>
            </w:r>
            <w:r w:rsidR="004B1095">
              <w:rPr>
                <w:rFonts w:eastAsia="Times New Roman" w:cs="Times New Roman"/>
                <w:sz w:val="24"/>
                <w:szCs w:val="24"/>
              </w:rPr>
              <w:t>5157055</w:t>
            </w:r>
          </w:p>
          <w:p w14:paraId="57B54394" w14:textId="5F5034C5" w:rsidR="00790ED6" w:rsidRPr="00117C05" w:rsidRDefault="00790ED6" w:rsidP="006D229C">
            <w:pPr>
              <w:spacing w:before="120" w:after="120"/>
              <w:jc w:val="both"/>
              <w:outlineLvl w:val="1"/>
              <w:rPr>
                <w:rFonts w:eastAsia="Times New Roman" w:cs="Times New Roman"/>
                <w:sz w:val="24"/>
                <w:szCs w:val="24"/>
              </w:rPr>
            </w:pPr>
            <w:r w:rsidRPr="004B1095">
              <w:rPr>
                <w:rFonts w:eastAsia="Times New Roman" w:cs="Times New Roman"/>
                <w:sz w:val="24"/>
                <w:szCs w:val="24"/>
              </w:rPr>
              <w:t xml:space="preserve">E-posti aadress: </w:t>
            </w:r>
            <w:r w:rsidR="004B1095">
              <w:rPr>
                <w:rFonts w:eastAsia="Times New Roman" w:cs="Times New Roman"/>
                <w:sz w:val="24"/>
                <w:szCs w:val="24"/>
              </w:rPr>
              <w:t>aivar.tuisk@ttja.ee</w:t>
            </w:r>
          </w:p>
        </w:tc>
      </w:tr>
    </w:tbl>
    <w:p w14:paraId="56CA10D1" w14:textId="46555732"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 xml:space="preserve">Lepingu kehtivus </w:t>
      </w:r>
    </w:p>
    <w:p w14:paraId="20F3FC97" w14:textId="6FB7E689" w:rsidR="00790ED6" w:rsidRPr="00117C05" w:rsidRDefault="00790ED6" w:rsidP="006D229C">
      <w:pPr>
        <w:pStyle w:val="2ndlevelprovision"/>
      </w:pPr>
      <w:r w:rsidRPr="00117C05">
        <w:t>Leping jõustub selle allkirjastamisest</w:t>
      </w:r>
      <w:r w:rsidR="006B5B76">
        <w:t xml:space="preserve"> </w:t>
      </w:r>
      <w:r w:rsidRPr="00117C05">
        <w:t xml:space="preserve"> mõlema Poole poolt ning kehtib </w:t>
      </w:r>
      <w:r w:rsidR="006A5124" w:rsidRPr="00117C05">
        <w:t xml:space="preserve">1 (ühe) aasta. Kui kumbki </w:t>
      </w:r>
      <w:r w:rsidR="00982E3C" w:rsidRPr="00117C05">
        <w:t>Pool ei tea</w:t>
      </w:r>
      <w:r w:rsidR="007028AD" w:rsidRPr="00117C05">
        <w:t>vi</w:t>
      </w:r>
      <w:r w:rsidR="00982E3C" w:rsidRPr="00117C05">
        <w:t xml:space="preserve">ta 1 (üks) kuu enne Lepingu kehtivuse lõppemist kirjalikult </w:t>
      </w:r>
      <w:r w:rsidR="007028AD" w:rsidRPr="00117C05">
        <w:t>teist Poolt soovist Leping lõpetada, pikene</w:t>
      </w:r>
      <w:r w:rsidR="006250EE" w:rsidRPr="00117C05">
        <w:t>b</w:t>
      </w:r>
      <w:r w:rsidR="007028AD" w:rsidRPr="00117C05">
        <w:t xml:space="preserve"> Leping automaatsel</w:t>
      </w:r>
      <w:r w:rsidR="006250EE" w:rsidRPr="00117C05">
        <w:t>t</w:t>
      </w:r>
      <w:r w:rsidR="007028AD" w:rsidRPr="00117C05">
        <w:t xml:space="preserve"> 1 (ühe) aasta võrra.</w:t>
      </w:r>
      <w:r w:rsidR="00982E3C" w:rsidRPr="00117C05">
        <w:t xml:space="preserve"> </w:t>
      </w:r>
      <w:r w:rsidR="006250EE" w:rsidRPr="00117C05">
        <w:t>Kuni Pooled ei ole Lepingut lõpetanud</w:t>
      </w:r>
      <w:r w:rsidR="000D424D" w:rsidRPr="00117C05">
        <w:t>,</w:t>
      </w:r>
      <w:r w:rsidR="006250EE" w:rsidRPr="00117C05">
        <w:t xml:space="preserve"> pikeneb </w:t>
      </w:r>
      <w:r w:rsidR="000D424D" w:rsidRPr="00117C05">
        <w:t xml:space="preserve">see </w:t>
      </w:r>
      <w:r w:rsidR="006250EE" w:rsidRPr="00117C05">
        <w:t>samadel tingimustel igaks järgnevaks aastaks</w:t>
      </w:r>
      <w:r w:rsidR="000D424D" w:rsidRPr="00117C05">
        <w:t>.</w:t>
      </w:r>
      <w:r w:rsidRPr="00117C05">
        <w:t xml:space="preserve"> </w:t>
      </w:r>
    </w:p>
    <w:p w14:paraId="65FDF853" w14:textId="46D28CA9" w:rsidR="00BE0B19" w:rsidRPr="00117C05" w:rsidRDefault="00BE0B19" w:rsidP="006D229C">
      <w:pPr>
        <w:pStyle w:val="2ndlevelprovision"/>
      </w:pPr>
      <w:r w:rsidRPr="00117C05">
        <w:t>Kummalgi Poolel on õigus Leping ühepoolselt lõpetada seaduses ettenähtud juhtudel järgides selleks seaduses sätestatud nõudeid.</w:t>
      </w:r>
    </w:p>
    <w:p w14:paraId="166AFCB9" w14:textId="64D6D681" w:rsidR="009A58A4" w:rsidRPr="00117C05" w:rsidRDefault="009A58A4" w:rsidP="006D229C">
      <w:pPr>
        <w:pStyle w:val="2ndlevelprovision"/>
      </w:pPr>
      <w:bookmarkStart w:id="6" w:name="_Hlk1488639"/>
      <w:r w:rsidRPr="00117C05">
        <w:t>Lepingu lõp</w:t>
      </w:r>
      <w:r w:rsidR="008B3FC4" w:rsidRPr="00117C05">
        <w:t>pemine</w:t>
      </w:r>
      <w:r w:rsidRPr="00117C05">
        <w:t xml:space="preserve"> ei too kaasa</w:t>
      </w:r>
      <w:r w:rsidR="008B3FC4" w:rsidRPr="00117C05">
        <w:t xml:space="preserve"> juba sisse</w:t>
      </w:r>
      <w:r w:rsidR="00601CA9">
        <w:t xml:space="preserve"> </w:t>
      </w:r>
      <w:r w:rsidR="008B3FC4" w:rsidRPr="00117C05">
        <w:t>nõutavaks muutunud kohustuste lõppemist</w:t>
      </w:r>
      <w:r w:rsidR="00BD3DAB" w:rsidRPr="00117C05">
        <w:t xml:space="preserve"> ega olemuselt selliste kohustuste lõppemist, mille puhul võib eeldada </w:t>
      </w:r>
      <w:r w:rsidR="008B3FC4" w:rsidRPr="00117C05">
        <w:t xml:space="preserve">teise Poole </w:t>
      </w:r>
      <w:r w:rsidR="00AE7BD8" w:rsidRPr="00117C05">
        <w:t xml:space="preserve">põhjendatud </w:t>
      </w:r>
      <w:r w:rsidR="008B3FC4" w:rsidRPr="00117C05">
        <w:t xml:space="preserve">huvi kohustuse jätkuva täitmise vastu (nagu konfidentsiaalsuskohustus). </w:t>
      </w:r>
    </w:p>
    <w:bookmarkEnd w:id="6"/>
    <w:p w14:paraId="3539F6C6"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Vaidluste lahendamise kord</w:t>
      </w:r>
    </w:p>
    <w:p w14:paraId="0BBCD995" w14:textId="77777777" w:rsidR="00790ED6" w:rsidRPr="00117C05" w:rsidRDefault="00790ED6" w:rsidP="006D229C">
      <w:pPr>
        <w:pStyle w:val="2ndlevelprovision"/>
      </w:pPr>
      <w:r w:rsidRPr="00117C05">
        <w:t>Lepingule ja sellega seotud dokumentidele kohaldatakse Eesti Vabariigi seaduseid.</w:t>
      </w:r>
    </w:p>
    <w:p w14:paraId="09B690DA" w14:textId="20F00282" w:rsidR="00F20C90" w:rsidRPr="00117C05" w:rsidRDefault="00790ED6" w:rsidP="006D229C">
      <w:pPr>
        <w:pStyle w:val="2ndlevelprovision"/>
      </w:pPr>
      <w:r w:rsidRPr="00117C05">
        <w:t>Kõik Poolte</w:t>
      </w:r>
      <w:r w:rsidR="00601CA9">
        <w:t xml:space="preserve"> </w:t>
      </w:r>
      <w:r w:rsidRPr="00117C05">
        <w:t>vahelised vaidlused, mis tulenevad Lepingust või on sellega seotud, lahendatakse läbirääkimiste teel.</w:t>
      </w:r>
    </w:p>
    <w:p w14:paraId="34DE926C" w14:textId="119484C7" w:rsidR="00790ED6" w:rsidRPr="00117C05" w:rsidRDefault="00790ED6" w:rsidP="006D229C">
      <w:pPr>
        <w:pStyle w:val="2ndlevelprovision"/>
      </w:pPr>
      <w:r w:rsidRPr="00117C05">
        <w:t xml:space="preserve">Juhul kui Pooled ei leia vaidlusele läbirääkimiste teel lahendust, siis lahendatakse Lepingust tulenev või sellega seotud või Lepingu rikkumisest, lõpetamisest või </w:t>
      </w:r>
      <w:r w:rsidRPr="00117C05">
        <w:lastRenderedPageBreak/>
        <w:t xml:space="preserve">kehtetusest tulenev või sellega seotud mis tahes vaidlus, erimeelsus või nõue lõplikult Harju Maakohtus. </w:t>
      </w:r>
    </w:p>
    <w:p w14:paraId="59A3FADF"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 xml:space="preserve">lõppsätted </w:t>
      </w:r>
    </w:p>
    <w:p w14:paraId="02DC1B5A" w14:textId="77777777" w:rsidR="00790ED6" w:rsidRPr="00117C05" w:rsidRDefault="00790ED6" w:rsidP="006D229C">
      <w:pPr>
        <w:pStyle w:val="2ndlevelprovision"/>
      </w:pPr>
      <w:r w:rsidRPr="00117C05">
        <w:t>Lepingust tulenevate õiguste või volituste mittekasutamine ei tähenda, et Pooled oleksid Lepingus sätestatud õiguste või volituste kasutamise võimalusest tulevikus loobunud, samuti ei takista mistahes õiguse või volituse üksik teostamine mistahes muu õiguse või volituse teostamist.</w:t>
      </w:r>
    </w:p>
    <w:p w14:paraId="5111F31B" w14:textId="77777777" w:rsidR="00790ED6" w:rsidRPr="00117C05" w:rsidRDefault="00790ED6" w:rsidP="006D229C">
      <w:pPr>
        <w:pStyle w:val="2ndlevelprovision"/>
      </w:pPr>
      <w:r w:rsidRPr="00117C05">
        <w:t>Lepingu mis tahes sätte tühisus, õigusvastasus või täitmisele pööramise võimatus ei mõjuta Lepingu mis tahes muu sätte kehtivust või täitmisele pööratavust.</w:t>
      </w:r>
    </w:p>
    <w:p w14:paraId="38A8417B" w14:textId="18248844" w:rsidR="00790ED6" w:rsidRPr="00117C05" w:rsidRDefault="00790ED6" w:rsidP="006D229C">
      <w:pPr>
        <w:pStyle w:val="2ndlevelprovision"/>
      </w:pPr>
      <w:bookmarkStart w:id="7" w:name="_Hlk1488720"/>
      <w:r w:rsidRPr="00117C05">
        <w:t xml:space="preserve">Lepingu mis tahes muudatused või täiendused kehtivad üksnes siis, kui vastava muudatuse kohta on sõlmitud Poolte selgesõnaline kirjalik kokkulepe. </w:t>
      </w:r>
      <w:r w:rsidR="00AE7BD8" w:rsidRPr="00117C05">
        <w:t>Kõik Lepingu muudatused ja täiendused jõustuvad pärast nende allakirjutamist mõlema Poole poolt. Kirjaliku vormi mittejärgmisel on Lepingu muudatused ja täiendused kehtetud.</w:t>
      </w:r>
      <w:bookmarkEnd w:id="7"/>
    </w:p>
    <w:p w14:paraId="29E4E107" w14:textId="77777777" w:rsidR="00790ED6" w:rsidRPr="00117C05" w:rsidRDefault="00790ED6" w:rsidP="006D229C">
      <w:pPr>
        <w:pStyle w:val="2ndlevelprovision"/>
      </w:pPr>
      <w:r w:rsidRPr="00117C05">
        <w:t>Leping on Poolte vahel sõlmitud isiklikult ning Pooled ei või kolmandale isikule Lepingust tulenevaid õigusi või kohustusi ilma teise Poole kirjaliku nõusolekuta loovutada või üle anda.</w:t>
      </w:r>
    </w:p>
    <w:p w14:paraId="3C79DFA5" w14:textId="77777777" w:rsidR="00790ED6" w:rsidRPr="00117C05" w:rsidRDefault="00790ED6" w:rsidP="00452681">
      <w:pPr>
        <w:keepNext/>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LISAD</w:t>
      </w:r>
    </w:p>
    <w:p w14:paraId="10981DF6" w14:textId="751DC016" w:rsidR="00F20C90" w:rsidRPr="00117C05" w:rsidRDefault="00790ED6" w:rsidP="006D229C">
      <w:pPr>
        <w:pStyle w:val="2ndlevelprovision"/>
      </w:pPr>
      <w:r w:rsidRPr="00117C05">
        <w:t>Lepingu lisad moodustavad lepinguga ühtse terviku ja on selle lahutamatuks osaks. Lepingu sõlmimise hetkel on lepingul järgnevad lisad:</w:t>
      </w:r>
    </w:p>
    <w:p w14:paraId="629A20F4" w14:textId="02106F0F" w:rsidR="00790ED6" w:rsidRPr="00117C05" w:rsidRDefault="00790ED6" w:rsidP="006D229C">
      <w:pPr>
        <w:spacing w:before="120" w:after="120"/>
        <w:jc w:val="both"/>
        <w:rPr>
          <w:rFonts w:eastAsia="Times New Roman" w:cs="Times New Roman"/>
          <w:sz w:val="24"/>
          <w:szCs w:val="24"/>
        </w:rPr>
      </w:pPr>
      <w:r w:rsidRPr="00117C05">
        <w:rPr>
          <w:rFonts w:eastAsia="Times New Roman" w:cs="Times New Roman"/>
          <w:sz w:val="24"/>
          <w:szCs w:val="24"/>
        </w:rPr>
        <w:t xml:space="preserve">Lisa 1. </w:t>
      </w:r>
      <w:r w:rsidR="00D601A0" w:rsidRPr="00117C05">
        <w:rPr>
          <w:rFonts w:eastAsia="Times New Roman" w:cs="Times New Roman"/>
          <w:sz w:val="24"/>
          <w:szCs w:val="24"/>
        </w:rPr>
        <w:t>Hooldusobjektid, lepinguga</w:t>
      </w:r>
      <w:r w:rsidR="001354F0" w:rsidRPr="00117C05">
        <w:rPr>
          <w:rFonts w:eastAsia="Times New Roman" w:cs="Times New Roman"/>
          <w:sz w:val="24"/>
          <w:szCs w:val="24"/>
        </w:rPr>
        <w:t xml:space="preserve"> hõlmatud</w:t>
      </w:r>
      <w:r w:rsidR="00D601A0" w:rsidRPr="00117C05">
        <w:rPr>
          <w:rFonts w:eastAsia="Times New Roman" w:cs="Times New Roman"/>
          <w:sz w:val="24"/>
          <w:szCs w:val="24"/>
        </w:rPr>
        <w:t xml:space="preserve"> </w:t>
      </w:r>
      <w:r w:rsidR="005401CF" w:rsidRPr="00117C05">
        <w:rPr>
          <w:rFonts w:eastAsia="Times New Roman" w:cs="Times New Roman"/>
          <w:sz w:val="24"/>
          <w:szCs w:val="24"/>
        </w:rPr>
        <w:t>korraliste hooldus</w:t>
      </w:r>
      <w:r w:rsidR="00D601A0" w:rsidRPr="00117C05">
        <w:rPr>
          <w:rFonts w:eastAsia="Times New Roman" w:cs="Times New Roman"/>
          <w:sz w:val="24"/>
          <w:szCs w:val="24"/>
        </w:rPr>
        <w:t>tööde kirjeldus ja maksumu</w:t>
      </w:r>
      <w:r w:rsidR="000C3B5E">
        <w:rPr>
          <w:rFonts w:eastAsia="Times New Roman" w:cs="Times New Roman"/>
          <w:sz w:val="24"/>
          <w:szCs w:val="24"/>
        </w:rPr>
        <w:t>s.</w:t>
      </w:r>
    </w:p>
    <w:p w14:paraId="0DDED404" w14:textId="77777777" w:rsidR="00790ED6" w:rsidRPr="00117C05" w:rsidRDefault="00790ED6" w:rsidP="006D229C">
      <w:pPr>
        <w:keepNext/>
        <w:numPr>
          <w:ilvl w:val="0"/>
          <w:numId w:val="28"/>
        </w:numPr>
        <w:spacing w:before="120" w:after="120"/>
        <w:jc w:val="both"/>
        <w:outlineLvl w:val="0"/>
        <w:rPr>
          <w:rFonts w:eastAsia="Times New Roman" w:cs="Times New Roman"/>
          <w:b/>
          <w:caps/>
          <w:spacing w:val="20"/>
          <w:sz w:val="24"/>
          <w:szCs w:val="24"/>
        </w:rPr>
      </w:pPr>
      <w:r w:rsidRPr="00117C05">
        <w:rPr>
          <w:rFonts w:eastAsia="Times New Roman" w:cs="Times New Roman"/>
          <w:b/>
          <w:caps/>
          <w:spacing w:val="20"/>
          <w:sz w:val="24"/>
          <w:szCs w:val="24"/>
        </w:rPr>
        <w:t>Poolte allkirjad</w:t>
      </w:r>
    </w:p>
    <w:p w14:paraId="387851D4" w14:textId="77777777" w:rsidR="00790ED6" w:rsidRPr="00117C05" w:rsidRDefault="00790ED6" w:rsidP="006D229C">
      <w:pPr>
        <w:spacing w:before="120" w:after="120"/>
        <w:jc w:val="both"/>
        <w:rPr>
          <w:rFonts w:eastAsia="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90ED6" w:rsidRPr="00117C05" w14:paraId="2159558F" w14:textId="77777777" w:rsidTr="00922203">
        <w:tc>
          <w:tcPr>
            <w:tcW w:w="4531" w:type="dxa"/>
          </w:tcPr>
          <w:p w14:paraId="7AE80A94" w14:textId="204B8C93" w:rsidR="00790ED6" w:rsidRPr="00117C05" w:rsidRDefault="00100EF6" w:rsidP="006D229C">
            <w:pPr>
              <w:spacing w:before="120" w:after="120"/>
              <w:jc w:val="both"/>
              <w:rPr>
                <w:rFonts w:eastAsia="Times New Roman" w:cs="Times New Roman"/>
                <w:sz w:val="24"/>
                <w:szCs w:val="24"/>
              </w:rPr>
            </w:pPr>
            <w:r>
              <w:rPr>
                <w:rFonts w:eastAsia="Times New Roman" w:cs="Times New Roman"/>
                <w:sz w:val="24"/>
                <w:szCs w:val="24"/>
              </w:rPr>
              <w:t>BMG Energy OÜ</w:t>
            </w:r>
            <w:r w:rsidR="00790ED6" w:rsidRPr="00117C05">
              <w:rPr>
                <w:rFonts w:eastAsia="Times New Roman" w:cs="Times New Roman"/>
                <w:sz w:val="24"/>
                <w:szCs w:val="24"/>
              </w:rPr>
              <w:t xml:space="preserve"> nimel</w:t>
            </w:r>
          </w:p>
          <w:p w14:paraId="32EAC46E" w14:textId="353B241D" w:rsidR="00790ED6" w:rsidRPr="00117C05" w:rsidRDefault="00100EF6" w:rsidP="006D229C">
            <w:pPr>
              <w:spacing w:before="120" w:after="120"/>
              <w:jc w:val="both"/>
              <w:rPr>
                <w:rFonts w:eastAsia="Times New Roman" w:cs="Times New Roman"/>
                <w:sz w:val="24"/>
                <w:szCs w:val="24"/>
              </w:rPr>
            </w:pPr>
            <w:r>
              <w:rPr>
                <w:rFonts w:eastAsia="Times New Roman" w:cs="Times New Roman"/>
                <w:sz w:val="24"/>
                <w:szCs w:val="24"/>
              </w:rPr>
              <w:t>Kalmer Kroonberg</w:t>
            </w:r>
          </w:p>
          <w:p w14:paraId="737E82C1" w14:textId="77777777" w:rsidR="00790ED6" w:rsidRPr="00117C05" w:rsidRDefault="00790ED6" w:rsidP="006D229C">
            <w:pPr>
              <w:spacing w:before="120" w:after="120"/>
              <w:jc w:val="both"/>
              <w:rPr>
                <w:rFonts w:eastAsia="Times New Roman" w:cs="Times New Roman"/>
                <w:sz w:val="24"/>
                <w:szCs w:val="24"/>
              </w:rPr>
            </w:pPr>
          </w:p>
          <w:p w14:paraId="50BAF310" w14:textId="77777777" w:rsidR="00BE48A2" w:rsidRPr="007B760F" w:rsidRDefault="00BE48A2" w:rsidP="00BE48A2">
            <w:pPr>
              <w:spacing w:before="120" w:after="120"/>
              <w:jc w:val="both"/>
              <w:rPr>
                <w:rFonts w:eastAsia="Times New Roman" w:cs="Times New Roman"/>
                <w:i/>
                <w:iCs/>
                <w:sz w:val="24"/>
                <w:szCs w:val="24"/>
              </w:rPr>
            </w:pPr>
            <w:r>
              <w:rPr>
                <w:rFonts w:eastAsia="Times New Roman" w:cs="Times New Roman"/>
                <w:i/>
                <w:iCs/>
                <w:sz w:val="24"/>
                <w:szCs w:val="24"/>
              </w:rPr>
              <w:t>/Allkirjastatud digitaalselt/</w:t>
            </w:r>
          </w:p>
          <w:p w14:paraId="4303361C" w14:textId="0AB4AF6F" w:rsidR="00790ED6" w:rsidRPr="00117C05" w:rsidRDefault="00790ED6" w:rsidP="006D229C">
            <w:pPr>
              <w:spacing w:before="120" w:after="120"/>
              <w:jc w:val="both"/>
              <w:rPr>
                <w:rFonts w:eastAsia="Times New Roman" w:cs="Times New Roman"/>
                <w:sz w:val="24"/>
                <w:szCs w:val="24"/>
              </w:rPr>
            </w:pPr>
          </w:p>
        </w:tc>
        <w:tc>
          <w:tcPr>
            <w:tcW w:w="4531" w:type="dxa"/>
          </w:tcPr>
          <w:p w14:paraId="70AE3697" w14:textId="5B1DEAB5" w:rsidR="00076C74" w:rsidRPr="00D31CD3" w:rsidRDefault="00B35E7B" w:rsidP="006D229C">
            <w:pPr>
              <w:spacing w:before="120" w:after="120"/>
              <w:jc w:val="both"/>
              <w:rPr>
                <w:rFonts w:eastAsia="Times New Roman" w:cs="Times New Roman"/>
                <w:sz w:val="24"/>
                <w:szCs w:val="24"/>
              </w:rPr>
            </w:pPr>
            <w:r w:rsidRPr="00D31CD3">
              <w:rPr>
                <w:rFonts w:eastAsia="Times New Roman" w:cs="Times New Roman"/>
                <w:sz w:val="24"/>
                <w:szCs w:val="24"/>
              </w:rPr>
              <w:t>Tarbijakaitse ja Tehnilise Järelevalve Amet</w:t>
            </w:r>
          </w:p>
          <w:p w14:paraId="3D253560" w14:textId="72A504B9" w:rsidR="00790ED6" w:rsidRDefault="00D31CD3" w:rsidP="006D229C">
            <w:pPr>
              <w:spacing w:before="120" w:after="120"/>
              <w:jc w:val="both"/>
              <w:rPr>
                <w:rFonts w:eastAsia="Times New Roman" w:cs="Times New Roman"/>
                <w:sz w:val="24"/>
                <w:szCs w:val="24"/>
              </w:rPr>
            </w:pPr>
            <w:r>
              <w:rPr>
                <w:rFonts w:eastAsia="Times New Roman" w:cs="Times New Roman"/>
                <w:sz w:val="24"/>
                <w:szCs w:val="24"/>
              </w:rPr>
              <w:t xml:space="preserve">Kristi </w:t>
            </w:r>
            <w:r w:rsidR="00615100">
              <w:rPr>
                <w:rFonts w:eastAsia="Times New Roman" w:cs="Times New Roman"/>
                <w:sz w:val="24"/>
                <w:szCs w:val="24"/>
              </w:rPr>
              <w:t>Talving</w:t>
            </w:r>
          </w:p>
          <w:p w14:paraId="1FE92089" w14:textId="64708566" w:rsidR="002E2667" w:rsidRPr="00D31CD3" w:rsidRDefault="002E2667" w:rsidP="006D229C">
            <w:pPr>
              <w:spacing w:before="120" w:after="120"/>
              <w:jc w:val="both"/>
              <w:rPr>
                <w:rFonts w:eastAsia="Times New Roman" w:cs="Times New Roman"/>
                <w:sz w:val="24"/>
                <w:szCs w:val="24"/>
              </w:rPr>
            </w:pPr>
            <w:r>
              <w:rPr>
                <w:rFonts w:eastAsia="Times New Roman" w:cs="Times New Roman"/>
                <w:sz w:val="24"/>
                <w:szCs w:val="24"/>
              </w:rPr>
              <w:t>peadirektor</w:t>
            </w:r>
          </w:p>
          <w:p w14:paraId="72B308AA" w14:textId="77777777" w:rsidR="00BE48A2" w:rsidRPr="00D31CD3" w:rsidRDefault="00BE48A2" w:rsidP="00BE48A2">
            <w:pPr>
              <w:spacing w:before="120" w:after="120"/>
              <w:jc w:val="both"/>
              <w:rPr>
                <w:rFonts w:eastAsia="Times New Roman" w:cs="Times New Roman"/>
                <w:i/>
                <w:iCs/>
                <w:sz w:val="24"/>
                <w:szCs w:val="24"/>
              </w:rPr>
            </w:pPr>
            <w:r w:rsidRPr="00D31CD3">
              <w:rPr>
                <w:rFonts w:eastAsia="Times New Roman" w:cs="Times New Roman"/>
                <w:i/>
                <w:iCs/>
                <w:sz w:val="24"/>
                <w:szCs w:val="24"/>
              </w:rPr>
              <w:t>/Allkirjastatud digitaalselt/</w:t>
            </w:r>
          </w:p>
          <w:p w14:paraId="79DCA957" w14:textId="0730B597" w:rsidR="00790ED6" w:rsidRPr="00D31CD3" w:rsidRDefault="00790ED6" w:rsidP="006D229C">
            <w:pPr>
              <w:spacing w:before="120" w:after="120"/>
              <w:jc w:val="both"/>
              <w:rPr>
                <w:rFonts w:eastAsia="Times New Roman" w:cs="Times New Roman"/>
                <w:sz w:val="24"/>
                <w:szCs w:val="24"/>
              </w:rPr>
            </w:pPr>
          </w:p>
        </w:tc>
      </w:tr>
    </w:tbl>
    <w:p w14:paraId="7B34189A" w14:textId="77777777" w:rsidR="00176069" w:rsidRPr="00117C05" w:rsidRDefault="00176069" w:rsidP="006D229C">
      <w:pPr>
        <w:pStyle w:val="SLONormal"/>
        <w:rPr>
          <w:lang w:val="et-EE"/>
        </w:rPr>
      </w:pPr>
    </w:p>
    <w:p w14:paraId="18A0BAFE" w14:textId="46EEBF90" w:rsidR="00277396" w:rsidRPr="00117C05" w:rsidRDefault="00277396" w:rsidP="006D229C">
      <w:pPr>
        <w:pStyle w:val="SLONormal"/>
        <w:rPr>
          <w:lang w:val="et-EE"/>
        </w:rPr>
      </w:pPr>
    </w:p>
    <w:p w14:paraId="5037CA42" w14:textId="77777777" w:rsidR="00277396" w:rsidRPr="00117C05" w:rsidRDefault="00277396" w:rsidP="006D229C">
      <w:pPr>
        <w:spacing w:before="120" w:after="120"/>
        <w:rPr>
          <w:rFonts w:eastAsia="Times New Roman" w:cs="Times New Roman"/>
          <w:sz w:val="24"/>
          <w:szCs w:val="24"/>
        </w:rPr>
      </w:pPr>
      <w:r w:rsidRPr="00117C05">
        <w:rPr>
          <w:rFonts w:cs="Times New Roman"/>
          <w:sz w:val="24"/>
          <w:szCs w:val="24"/>
        </w:rPr>
        <w:br w:type="page"/>
      </w:r>
    </w:p>
    <w:p w14:paraId="3AE38EEC" w14:textId="3E9C0F16" w:rsidR="003A5D19" w:rsidRPr="00117C05" w:rsidRDefault="009F2962" w:rsidP="006D229C">
      <w:pPr>
        <w:pStyle w:val="1stlevelheading"/>
        <w:numPr>
          <w:ilvl w:val="0"/>
          <w:numId w:val="0"/>
        </w:numPr>
        <w:spacing w:before="120" w:after="120"/>
        <w:ind w:left="964" w:hanging="964"/>
        <w:jc w:val="center"/>
        <w:rPr>
          <w:lang w:val="et-EE"/>
        </w:rPr>
      </w:pPr>
      <w:r w:rsidRPr="00117C05">
        <w:rPr>
          <w:lang w:val="et-EE"/>
        </w:rPr>
        <w:lastRenderedPageBreak/>
        <w:t>Lisa 1</w:t>
      </w:r>
    </w:p>
    <w:p w14:paraId="03FB90E5" w14:textId="7F2ACBD6" w:rsidR="009F2962" w:rsidRPr="00117C05" w:rsidRDefault="009F2962" w:rsidP="006D229C">
      <w:pPr>
        <w:pStyle w:val="1stlevelheading"/>
        <w:numPr>
          <w:ilvl w:val="0"/>
          <w:numId w:val="0"/>
        </w:numPr>
        <w:spacing w:before="120" w:after="120"/>
        <w:ind w:left="964" w:hanging="964"/>
        <w:jc w:val="center"/>
        <w:rPr>
          <w:lang w:val="et-EE"/>
        </w:rPr>
      </w:pPr>
      <w:r w:rsidRPr="00117C05">
        <w:rPr>
          <w:lang w:val="et-EE"/>
        </w:rPr>
        <w:t xml:space="preserve">Hooldusobjektid, lepinguga </w:t>
      </w:r>
      <w:r w:rsidR="00D83DB0" w:rsidRPr="00117C05">
        <w:rPr>
          <w:lang w:val="et-EE"/>
        </w:rPr>
        <w:t>HÕLMATUD</w:t>
      </w:r>
      <w:r w:rsidRPr="00117C05">
        <w:rPr>
          <w:lang w:val="et-EE"/>
        </w:rPr>
        <w:t xml:space="preserve"> korralist</w:t>
      </w:r>
      <w:r w:rsidR="001354F0" w:rsidRPr="00117C05">
        <w:rPr>
          <w:lang w:val="et-EE"/>
        </w:rPr>
        <w:t xml:space="preserve">E </w:t>
      </w:r>
      <w:r w:rsidRPr="00117C05">
        <w:rPr>
          <w:lang w:val="et-EE"/>
        </w:rPr>
        <w:t>hooldustööde kirjeldus</w:t>
      </w:r>
      <w:r w:rsidR="000C3B5E">
        <w:rPr>
          <w:lang w:val="et-EE"/>
        </w:rPr>
        <w:t xml:space="preserve"> </w:t>
      </w:r>
      <w:r w:rsidRPr="00117C05">
        <w:rPr>
          <w:lang w:val="et-EE"/>
        </w:rPr>
        <w:t>ja maksumus</w:t>
      </w:r>
    </w:p>
    <w:p w14:paraId="2070BEA5" w14:textId="77777777" w:rsidR="00E97A0B" w:rsidRPr="00117C05" w:rsidRDefault="00E97A0B" w:rsidP="006D229C">
      <w:pPr>
        <w:spacing w:before="120" w:after="120"/>
        <w:jc w:val="both"/>
        <w:rPr>
          <w:rFonts w:eastAsia="Times New Roman" w:cs="Times New Roman"/>
          <w:b/>
          <w:sz w:val="24"/>
          <w:szCs w:val="24"/>
        </w:rPr>
      </w:pPr>
    </w:p>
    <w:p w14:paraId="38504EEE" w14:textId="7DC06860" w:rsidR="00E97A0B" w:rsidRPr="00117C05" w:rsidRDefault="00FD5CB1" w:rsidP="006D229C">
      <w:pPr>
        <w:spacing w:before="120" w:after="120"/>
        <w:jc w:val="both"/>
        <w:rPr>
          <w:rFonts w:eastAsia="Times New Roman" w:cs="Times New Roman"/>
          <w:sz w:val="24"/>
          <w:szCs w:val="24"/>
        </w:rPr>
      </w:pPr>
      <w:r>
        <w:rPr>
          <w:rFonts w:eastAsia="Times New Roman" w:cs="Times New Roman"/>
          <w:b/>
          <w:sz w:val="24"/>
          <w:szCs w:val="24"/>
        </w:rPr>
        <w:t>BMG Energy OÜ</w:t>
      </w:r>
      <w:r w:rsidR="00E97A0B" w:rsidRPr="00117C05">
        <w:rPr>
          <w:rFonts w:eastAsia="Times New Roman" w:cs="Times New Roman"/>
          <w:sz w:val="24"/>
          <w:szCs w:val="24"/>
        </w:rPr>
        <w:t>, registrikood: 1</w:t>
      </w:r>
      <w:r>
        <w:rPr>
          <w:rFonts w:eastAsia="Times New Roman" w:cs="Times New Roman"/>
          <w:sz w:val="24"/>
          <w:szCs w:val="24"/>
        </w:rPr>
        <w:t>6388644</w:t>
      </w:r>
      <w:r w:rsidR="00E97A0B" w:rsidRPr="00117C05">
        <w:rPr>
          <w:rFonts w:eastAsia="Times New Roman" w:cs="Times New Roman"/>
          <w:sz w:val="24"/>
          <w:szCs w:val="24"/>
        </w:rPr>
        <w:t>, aadress: Paljassaare tee 1</w:t>
      </w:r>
      <w:r>
        <w:rPr>
          <w:rFonts w:eastAsia="Times New Roman" w:cs="Times New Roman"/>
          <w:sz w:val="24"/>
          <w:szCs w:val="24"/>
        </w:rPr>
        <w:t>6</w:t>
      </w:r>
      <w:r w:rsidR="00E97A0B" w:rsidRPr="00117C05">
        <w:rPr>
          <w:rFonts w:eastAsia="Times New Roman" w:cs="Times New Roman"/>
          <w:sz w:val="24"/>
          <w:szCs w:val="24"/>
        </w:rPr>
        <w:t xml:space="preserve">, Tallinn 10313 (edaspidi </w:t>
      </w:r>
      <w:r w:rsidR="00E97A0B" w:rsidRPr="00117C05">
        <w:rPr>
          <w:rFonts w:eastAsia="Times New Roman" w:cs="Times New Roman"/>
          <w:b/>
          <w:sz w:val="24"/>
          <w:szCs w:val="24"/>
        </w:rPr>
        <w:t>Töövõtja</w:t>
      </w:r>
      <w:r w:rsidR="00E97A0B" w:rsidRPr="00117C05">
        <w:rPr>
          <w:rFonts w:eastAsia="Times New Roman" w:cs="Times New Roman"/>
          <w:sz w:val="24"/>
          <w:szCs w:val="24"/>
        </w:rPr>
        <w:t xml:space="preserve">), mida esindab juhatuse liige </w:t>
      </w:r>
      <w:r w:rsidR="009A6010">
        <w:rPr>
          <w:rFonts w:eastAsia="Times New Roman" w:cs="Times New Roman"/>
          <w:sz w:val="24"/>
          <w:szCs w:val="24"/>
        </w:rPr>
        <w:t>Kalmer Kroonberg</w:t>
      </w:r>
      <w:r w:rsidR="00E97A0B" w:rsidRPr="00117C05">
        <w:rPr>
          <w:rFonts w:eastAsia="Times New Roman" w:cs="Times New Roman"/>
          <w:sz w:val="24"/>
          <w:szCs w:val="24"/>
        </w:rPr>
        <w:t>;</w:t>
      </w:r>
    </w:p>
    <w:p w14:paraId="7BF0C9AA" w14:textId="77777777" w:rsidR="00E97A0B" w:rsidRPr="00117C05" w:rsidRDefault="00E97A0B" w:rsidP="006D229C">
      <w:pPr>
        <w:spacing w:before="120" w:after="120"/>
        <w:ind w:left="720" w:hanging="720"/>
        <w:jc w:val="both"/>
        <w:rPr>
          <w:rFonts w:eastAsia="Times New Roman" w:cs="Times New Roman"/>
          <w:sz w:val="24"/>
          <w:szCs w:val="24"/>
        </w:rPr>
      </w:pPr>
      <w:r w:rsidRPr="00117C05">
        <w:rPr>
          <w:rFonts w:eastAsia="Times New Roman" w:cs="Times New Roman"/>
          <w:sz w:val="24"/>
          <w:szCs w:val="24"/>
        </w:rPr>
        <w:t>ja</w:t>
      </w:r>
    </w:p>
    <w:p w14:paraId="77289319" w14:textId="77777777" w:rsidR="00CB6E36" w:rsidRPr="001E6A13" w:rsidRDefault="00B35E7B" w:rsidP="00CB6E36">
      <w:pPr>
        <w:spacing w:before="120" w:after="120"/>
        <w:ind w:left="720" w:hanging="720"/>
        <w:jc w:val="both"/>
        <w:rPr>
          <w:rFonts w:eastAsia="Times New Roman" w:cs="Times New Roman"/>
          <w:b/>
          <w:sz w:val="24"/>
          <w:szCs w:val="24"/>
          <w:highlight w:val="yellow"/>
          <w:lang w:eastAsia="et-EE"/>
        </w:rPr>
      </w:pPr>
      <w:r w:rsidRPr="00B35E7B">
        <w:rPr>
          <w:rFonts w:eastAsia="Times New Roman" w:cs="Times New Roman"/>
          <w:b/>
          <w:sz w:val="24"/>
          <w:szCs w:val="24"/>
          <w:lang w:eastAsia="et-EE"/>
        </w:rPr>
        <w:t>Tarbijakaitse ja Tehnilise Järelevalve Amet</w:t>
      </w:r>
      <w:r>
        <w:rPr>
          <w:rFonts w:eastAsia="Times New Roman" w:cs="Times New Roman"/>
          <w:b/>
          <w:sz w:val="24"/>
          <w:szCs w:val="24"/>
          <w:lang w:eastAsia="et-EE"/>
        </w:rPr>
        <w:t>,</w:t>
      </w:r>
      <w:r w:rsidR="00076C74" w:rsidRPr="00076C74">
        <w:rPr>
          <w:rFonts w:eastAsia="Times New Roman" w:cs="Times New Roman"/>
          <w:b/>
          <w:sz w:val="24"/>
          <w:szCs w:val="24"/>
          <w:lang w:eastAsia="et-EE"/>
        </w:rPr>
        <w:t xml:space="preserve"> </w:t>
      </w:r>
      <w:r w:rsidR="00D649DF" w:rsidRPr="00117C05">
        <w:rPr>
          <w:rFonts w:eastAsia="Times New Roman" w:cs="Times New Roman"/>
          <w:sz w:val="24"/>
          <w:szCs w:val="24"/>
        </w:rPr>
        <w:t xml:space="preserve"> </w:t>
      </w:r>
      <w:r w:rsidR="007F1E8F" w:rsidRPr="001E6A13">
        <w:rPr>
          <w:rFonts w:eastAsia="Times New Roman" w:cs="Times New Roman"/>
          <w:sz w:val="24"/>
          <w:szCs w:val="24"/>
        </w:rPr>
        <w:t>registrikood:</w:t>
      </w:r>
      <w:r w:rsidR="007F1E8F" w:rsidRPr="001E6A13">
        <w:t xml:space="preserve"> </w:t>
      </w:r>
      <w:r w:rsidR="007F1E8F" w:rsidRPr="001E6A13">
        <w:rPr>
          <w:rFonts w:eastAsia="Times New Roman" w:cs="Times New Roman"/>
          <w:sz w:val="24"/>
          <w:szCs w:val="24"/>
        </w:rPr>
        <w:t xml:space="preserve">70003218, </w:t>
      </w:r>
      <w:r w:rsidR="007F1E8F" w:rsidRPr="0050591C">
        <w:rPr>
          <w:rFonts w:eastAsia="Times New Roman" w:cs="Times New Roman"/>
          <w:sz w:val="24"/>
          <w:szCs w:val="24"/>
        </w:rPr>
        <w:t xml:space="preserve">aadress: </w:t>
      </w:r>
      <w:r w:rsidR="007F1E8F">
        <w:rPr>
          <w:rFonts w:eastAsia="Times New Roman" w:cs="Times New Roman"/>
          <w:sz w:val="24"/>
          <w:szCs w:val="24"/>
        </w:rPr>
        <w:t xml:space="preserve">Endla tn 10a, 10122 </w:t>
      </w:r>
      <w:r w:rsidR="007F1E8F" w:rsidRPr="0050591C">
        <w:rPr>
          <w:rFonts w:eastAsia="Times New Roman" w:cs="Times New Roman"/>
          <w:sz w:val="24"/>
          <w:szCs w:val="24"/>
        </w:rPr>
        <w:t>Tallinn</w:t>
      </w:r>
      <w:r w:rsidR="007F1E8F" w:rsidRPr="00117C05">
        <w:rPr>
          <w:rFonts w:eastAsia="Times New Roman" w:cs="Times New Roman"/>
          <w:sz w:val="24"/>
          <w:szCs w:val="24"/>
        </w:rPr>
        <w:t xml:space="preserve"> </w:t>
      </w:r>
      <w:r w:rsidR="00D649DF" w:rsidRPr="00117C05">
        <w:rPr>
          <w:rFonts w:eastAsia="Times New Roman" w:cs="Times New Roman"/>
          <w:sz w:val="24"/>
          <w:szCs w:val="24"/>
        </w:rPr>
        <w:t xml:space="preserve">(edaspidi </w:t>
      </w:r>
      <w:r w:rsidR="00D649DF" w:rsidRPr="00117C05">
        <w:rPr>
          <w:rFonts w:eastAsia="Times New Roman" w:cs="Times New Roman"/>
          <w:b/>
          <w:sz w:val="24"/>
          <w:szCs w:val="24"/>
        </w:rPr>
        <w:t>Tellija</w:t>
      </w:r>
      <w:r w:rsidR="00D649DF" w:rsidRPr="00117C05">
        <w:rPr>
          <w:rFonts w:eastAsia="Times New Roman" w:cs="Times New Roman"/>
          <w:sz w:val="24"/>
          <w:szCs w:val="24"/>
        </w:rPr>
        <w:t xml:space="preserve">), mida esindab </w:t>
      </w:r>
      <w:r w:rsidR="00CB6E36">
        <w:t>peadirektor Kristi Talving, põhikirja alusel</w:t>
      </w:r>
      <w:r w:rsidR="00CB6E36">
        <w:rPr>
          <w:rFonts w:eastAsia="Times New Roman" w:cs="Times New Roman"/>
          <w:sz w:val="24"/>
          <w:szCs w:val="24"/>
        </w:rPr>
        <w:t>.</w:t>
      </w:r>
    </w:p>
    <w:p w14:paraId="27BC2AC7" w14:textId="5380A245" w:rsidR="00E97A0B" w:rsidRPr="00117C05" w:rsidRDefault="00E97A0B" w:rsidP="006D229C">
      <w:pPr>
        <w:spacing w:before="120" w:after="120"/>
        <w:jc w:val="both"/>
        <w:rPr>
          <w:rFonts w:eastAsia="Times New Roman" w:cs="Times New Roman"/>
          <w:sz w:val="24"/>
          <w:szCs w:val="24"/>
        </w:rPr>
      </w:pPr>
      <w:r w:rsidRPr="00117C05">
        <w:rPr>
          <w:rFonts w:eastAsia="Times New Roman" w:cs="Times New Roman"/>
          <w:sz w:val="24"/>
          <w:szCs w:val="24"/>
        </w:rPr>
        <w:t xml:space="preserve">on kokku leppinud, et </w:t>
      </w:r>
      <w:r w:rsidR="00302579" w:rsidRPr="00117C05">
        <w:rPr>
          <w:rFonts w:eastAsia="Times New Roman" w:cs="Times New Roman"/>
          <w:sz w:val="24"/>
          <w:szCs w:val="24"/>
        </w:rPr>
        <w:t>Töövõtja teostab Tellija palvel korralisi hooldustöid järgmiste andmete alusel</w:t>
      </w:r>
      <w:r w:rsidR="00291BB9" w:rsidRPr="00117C05">
        <w:rPr>
          <w:rFonts w:eastAsia="Times New Roman" w:cs="Times New Roman"/>
          <w:sz w:val="24"/>
          <w:szCs w:val="24"/>
        </w:rPr>
        <w:t>.</w:t>
      </w:r>
    </w:p>
    <w:p w14:paraId="33A08375" w14:textId="4D736DCD" w:rsidR="00060BB5" w:rsidRPr="00117C05" w:rsidRDefault="00224063" w:rsidP="006D229C">
      <w:pPr>
        <w:pStyle w:val="1stlevelheading"/>
        <w:numPr>
          <w:ilvl w:val="0"/>
          <w:numId w:val="32"/>
        </w:numPr>
        <w:spacing w:before="120" w:after="120"/>
      </w:pPr>
      <w:r w:rsidRPr="00117C05">
        <w:t>HOOLDUSOBJEKTID</w:t>
      </w:r>
    </w:p>
    <w:p w14:paraId="11196723" w14:textId="77777777" w:rsidR="00291BB9" w:rsidRPr="00117C05" w:rsidRDefault="00291BB9" w:rsidP="006D229C">
      <w:pPr>
        <w:pStyle w:val="ListParagraph"/>
        <w:tabs>
          <w:tab w:val="left" w:pos="567"/>
        </w:tabs>
        <w:spacing w:before="120" w:after="120"/>
        <w:ind w:left="564"/>
        <w:jc w:val="both"/>
        <w:rPr>
          <w:rFonts w:cs="Times New Roman"/>
          <w:sz w:val="24"/>
        </w:rPr>
      </w:pPr>
    </w:p>
    <w:tbl>
      <w:tblPr>
        <w:tblW w:w="8982" w:type="dxa"/>
        <w:tblInd w:w="85" w:type="dxa"/>
        <w:tblLayout w:type="fixed"/>
        <w:tblCellMar>
          <w:left w:w="120" w:type="dxa"/>
          <w:right w:w="120" w:type="dxa"/>
        </w:tblCellMar>
        <w:tblLook w:val="04A0" w:firstRow="1" w:lastRow="0" w:firstColumn="1" w:lastColumn="0" w:noHBand="0" w:noVBand="1"/>
      </w:tblPr>
      <w:tblGrid>
        <w:gridCol w:w="2291"/>
        <w:gridCol w:w="1903"/>
        <w:gridCol w:w="2237"/>
        <w:gridCol w:w="2551"/>
      </w:tblGrid>
      <w:tr w:rsidR="00291BB9" w:rsidRPr="00117C05" w14:paraId="2ACEF72B" w14:textId="77777777" w:rsidTr="001865CD">
        <w:tc>
          <w:tcPr>
            <w:tcW w:w="2291" w:type="dxa"/>
            <w:tcBorders>
              <w:top w:val="single" w:sz="4" w:space="0" w:color="000000"/>
              <w:left w:val="single" w:sz="4" w:space="0" w:color="000000"/>
              <w:bottom w:val="single" w:sz="4" w:space="0" w:color="000000"/>
              <w:right w:val="nil"/>
            </w:tcBorders>
            <w:hideMark/>
          </w:tcPr>
          <w:p w14:paraId="3F142F24" w14:textId="341C7608" w:rsidR="00291BB9" w:rsidRPr="00117C05" w:rsidRDefault="001865CD" w:rsidP="006D229C">
            <w:pPr>
              <w:snapToGrid w:val="0"/>
              <w:spacing w:before="120" w:after="120"/>
              <w:jc w:val="center"/>
              <w:rPr>
                <w:rFonts w:cs="Times New Roman"/>
                <w:b/>
                <w:sz w:val="24"/>
              </w:rPr>
            </w:pPr>
            <w:r w:rsidRPr="00117C05">
              <w:rPr>
                <w:rFonts w:cs="Times New Roman"/>
                <w:b/>
                <w:sz w:val="24"/>
              </w:rPr>
              <w:t>O</w:t>
            </w:r>
            <w:r w:rsidR="00291BB9" w:rsidRPr="00117C05">
              <w:rPr>
                <w:rFonts w:cs="Times New Roman"/>
                <w:b/>
                <w:sz w:val="24"/>
              </w:rPr>
              <w:t>bjekt</w:t>
            </w:r>
            <w:r w:rsidRPr="00117C05">
              <w:rPr>
                <w:rFonts w:cs="Times New Roman"/>
                <w:b/>
                <w:sz w:val="24"/>
              </w:rPr>
              <w:t>i nimi</w:t>
            </w:r>
          </w:p>
        </w:tc>
        <w:tc>
          <w:tcPr>
            <w:tcW w:w="1903" w:type="dxa"/>
            <w:tcBorders>
              <w:top w:val="single" w:sz="4" w:space="0" w:color="000000"/>
              <w:left w:val="single" w:sz="4" w:space="0" w:color="000000"/>
              <w:bottom w:val="single" w:sz="4" w:space="0" w:color="000000"/>
              <w:right w:val="single" w:sz="4" w:space="0" w:color="000000"/>
            </w:tcBorders>
          </w:tcPr>
          <w:p w14:paraId="6F0DBA71" w14:textId="6C0EA278" w:rsidR="00291BB9" w:rsidRPr="00117C05" w:rsidRDefault="001865CD" w:rsidP="006D229C">
            <w:pPr>
              <w:snapToGrid w:val="0"/>
              <w:spacing w:before="120" w:after="120"/>
              <w:jc w:val="center"/>
              <w:rPr>
                <w:rFonts w:cs="Times New Roman"/>
                <w:b/>
                <w:sz w:val="24"/>
              </w:rPr>
            </w:pPr>
            <w:r w:rsidRPr="00117C05">
              <w:rPr>
                <w:rFonts w:cs="Times New Roman"/>
                <w:b/>
                <w:sz w:val="24"/>
              </w:rPr>
              <w:t>Objekti asukoht</w:t>
            </w:r>
          </w:p>
        </w:tc>
        <w:tc>
          <w:tcPr>
            <w:tcW w:w="2237" w:type="dxa"/>
            <w:tcBorders>
              <w:top w:val="single" w:sz="4" w:space="0" w:color="000000"/>
              <w:left w:val="single" w:sz="4" w:space="0" w:color="000000"/>
              <w:bottom w:val="single" w:sz="4" w:space="0" w:color="000000"/>
              <w:right w:val="nil"/>
            </w:tcBorders>
            <w:hideMark/>
          </w:tcPr>
          <w:p w14:paraId="046148A1" w14:textId="22B71B6B" w:rsidR="00291BB9" w:rsidRPr="00117C05" w:rsidRDefault="001865CD" w:rsidP="006D229C">
            <w:pPr>
              <w:snapToGrid w:val="0"/>
              <w:spacing w:before="120" w:after="120"/>
              <w:jc w:val="center"/>
              <w:rPr>
                <w:rFonts w:cs="Times New Roman"/>
                <w:b/>
                <w:sz w:val="24"/>
              </w:rPr>
            </w:pPr>
            <w:r w:rsidRPr="00117C05">
              <w:rPr>
                <w:rFonts w:cs="Times New Roman"/>
                <w:b/>
                <w:sz w:val="24"/>
              </w:rPr>
              <w:t>Hooldatavad seadmed</w:t>
            </w:r>
          </w:p>
        </w:tc>
        <w:tc>
          <w:tcPr>
            <w:tcW w:w="2551" w:type="dxa"/>
            <w:tcBorders>
              <w:top w:val="single" w:sz="4" w:space="0" w:color="000000"/>
              <w:left w:val="single" w:sz="4" w:space="0" w:color="000000"/>
              <w:bottom w:val="single" w:sz="4" w:space="0" w:color="000000"/>
              <w:right w:val="single" w:sz="4" w:space="0" w:color="000000"/>
            </w:tcBorders>
            <w:hideMark/>
          </w:tcPr>
          <w:p w14:paraId="60B56ACC" w14:textId="77777777" w:rsidR="00291BB9" w:rsidRPr="00117C05" w:rsidRDefault="00291BB9" w:rsidP="006D229C">
            <w:pPr>
              <w:snapToGrid w:val="0"/>
              <w:spacing w:before="120" w:after="120"/>
              <w:jc w:val="center"/>
              <w:rPr>
                <w:rFonts w:cs="Times New Roman"/>
                <w:b/>
                <w:sz w:val="24"/>
              </w:rPr>
            </w:pPr>
            <w:r w:rsidRPr="00117C05">
              <w:rPr>
                <w:rFonts w:cs="Times New Roman"/>
                <w:b/>
                <w:sz w:val="24"/>
              </w:rPr>
              <w:t>Märkused</w:t>
            </w:r>
          </w:p>
        </w:tc>
      </w:tr>
      <w:tr w:rsidR="00291BB9" w:rsidRPr="00117C05" w14:paraId="46C42514" w14:textId="77777777" w:rsidTr="001865CD">
        <w:tc>
          <w:tcPr>
            <w:tcW w:w="2291" w:type="dxa"/>
            <w:tcBorders>
              <w:top w:val="single" w:sz="4" w:space="0" w:color="000000"/>
              <w:left w:val="single" w:sz="4" w:space="0" w:color="000000"/>
              <w:bottom w:val="single" w:sz="4" w:space="0" w:color="000000"/>
              <w:right w:val="nil"/>
            </w:tcBorders>
            <w:hideMark/>
          </w:tcPr>
          <w:p w14:paraId="4EEF59D5" w14:textId="77777777" w:rsidR="0065470C" w:rsidRDefault="0065470C" w:rsidP="0065470C">
            <w:pPr>
              <w:snapToGrid w:val="0"/>
              <w:spacing w:before="120" w:after="120"/>
              <w:jc w:val="center"/>
              <w:rPr>
                <w:rFonts w:cs="Times New Roman"/>
                <w:i/>
                <w:sz w:val="24"/>
              </w:rPr>
            </w:pPr>
            <w:r w:rsidRPr="00117C05">
              <w:rPr>
                <w:rFonts w:cs="Times New Roman"/>
                <w:i/>
                <w:sz w:val="24"/>
              </w:rPr>
              <w:t>Diiselgeneraator</w:t>
            </w:r>
          </w:p>
          <w:p w14:paraId="4F561426" w14:textId="77777777" w:rsidR="0065470C" w:rsidRDefault="0065470C" w:rsidP="0065470C">
            <w:pPr>
              <w:snapToGrid w:val="0"/>
              <w:spacing w:before="120" w:after="120"/>
              <w:jc w:val="center"/>
              <w:rPr>
                <w:rFonts w:cs="Times New Roman"/>
                <w:i/>
                <w:sz w:val="24"/>
              </w:rPr>
            </w:pPr>
            <w:r>
              <w:rPr>
                <w:rFonts w:cs="Times New Roman"/>
                <w:i/>
                <w:sz w:val="24"/>
              </w:rPr>
              <w:t xml:space="preserve">Rigas Dizelis </w:t>
            </w:r>
            <w:r w:rsidRPr="00117C05">
              <w:rPr>
                <w:rFonts w:cs="Times New Roman"/>
                <w:i/>
                <w:sz w:val="24"/>
              </w:rPr>
              <w:t xml:space="preserve"> </w:t>
            </w:r>
          </w:p>
          <w:p w14:paraId="344FD27E" w14:textId="77777777" w:rsidR="0065470C" w:rsidRPr="00886CA4" w:rsidRDefault="0065470C" w:rsidP="0065470C">
            <w:pPr>
              <w:jc w:val="center"/>
              <w:rPr>
                <w:b/>
                <w:bCs/>
                <w:sz w:val="24"/>
                <w:szCs w:val="24"/>
              </w:rPr>
            </w:pPr>
            <w:r w:rsidRPr="00886CA4">
              <w:rPr>
                <w:rStyle w:val="fontstyle01"/>
                <w:b w:val="0"/>
                <w:bCs w:val="0"/>
                <w:sz w:val="24"/>
                <w:szCs w:val="24"/>
              </w:rPr>
              <w:t>E100F5LAST</w:t>
            </w:r>
          </w:p>
          <w:p w14:paraId="60ECE50A" w14:textId="071C0F89" w:rsidR="00291BB9" w:rsidRPr="00117C05" w:rsidRDefault="00291BB9" w:rsidP="006D229C">
            <w:pPr>
              <w:snapToGrid w:val="0"/>
              <w:spacing w:before="120" w:after="120"/>
              <w:rPr>
                <w:rFonts w:cs="Times New Roman"/>
                <w:i/>
                <w:sz w:val="24"/>
              </w:rPr>
            </w:pPr>
          </w:p>
        </w:tc>
        <w:tc>
          <w:tcPr>
            <w:tcW w:w="1903" w:type="dxa"/>
            <w:tcBorders>
              <w:top w:val="single" w:sz="4" w:space="0" w:color="000000"/>
              <w:left w:val="single" w:sz="4" w:space="0" w:color="000000"/>
              <w:bottom w:val="single" w:sz="4" w:space="0" w:color="000000"/>
              <w:right w:val="single" w:sz="4" w:space="0" w:color="000000"/>
            </w:tcBorders>
          </w:tcPr>
          <w:p w14:paraId="7FD73460" w14:textId="552F6C4F" w:rsidR="00291BB9" w:rsidRPr="00117C05" w:rsidRDefault="00B11DE9" w:rsidP="006D229C">
            <w:pPr>
              <w:snapToGrid w:val="0"/>
              <w:spacing w:before="120" w:after="120"/>
              <w:jc w:val="center"/>
              <w:rPr>
                <w:rFonts w:cs="Times New Roman"/>
                <w:i/>
                <w:sz w:val="24"/>
              </w:rPr>
            </w:pPr>
            <w:r>
              <w:rPr>
                <w:rFonts w:cs="Times New Roman"/>
                <w:i/>
                <w:sz w:val="24"/>
              </w:rPr>
              <w:t>Ädala 29</w:t>
            </w:r>
            <w:r w:rsidR="004A6D84">
              <w:rPr>
                <w:rFonts w:cs="Times New Roman"/>
                <w:i/>
                <w:sz w:val="24"/>
              </w:rPr>
              <w:t>,</w:t>
            </w:r>
            <w:r w:rsidR="001C72A4">
              <w:rPr>
                <w:rFonts w:cs="Times New Roman"/>
                <w:i/>
                <w:sz w:val="24"/>
              </w:rPr>
              <w:t xml:space="preserve"> </w:t>
            </w:r>
            <w:r w:rsidR="004A6D84">
              <w:rPr>
                <w:rFonts w:cs="Times New Roman"/>
                <w:i/>
                <w:sz w:val="24"/>
              </w:rPr>
              <w:t>Tallinn</w:t>
            </w:r>
          </w:p>
        </w:tc>
        <w:tc>
          <w:tcPr>
            <w:tcW w:w="2237" w:type="dxa"/>
            <w:tcBorders>
              <w:top w:val="single" w:sz="4" w:space="0" w:color="000000"/>
              <w:left w:val="single" w:sz="4" w:space="0" w:color="000000"/>
              <w:bottom w:val="single" w:sz="4" w:space="0" w:color="000000"/>
              <w:right w:val="nil"/>
            </w:tcBorders>
            <w:vAlign w:val="center"/>
            <w:hideMark/>
          </w:tcPr>
          <w:p w14:paraId="087A28ED" w14:textId="77777777" w:rsidR="00F12CE6" w:rsidRDefault="00941CEF" w:rsidP="006D229C">
            <w:pPr>
              <w:snapToGrid w:val="0"/>
              <w:spacing w:before="120" w:after="120"/>
              <w:jc w:val="center"/>
              <w:rPr>
                <w:rFonts w:cs="Times New Roman"/>
                <w:i/>
                <w:sz w:val="24"/>
              </w:rPr>
            </w:pPr>
            <w:r w:rsidRPr="00117C05">
              <w:rPr>
                <w:rFonts w:cs="Times New Roman"/>
                <w:i/>
                <w:sz w:val="24"/>
              </w:rPr>
              <w:t>Diiselgeneraator</w:t>
            </w:r>
          </w:p>
          <w:p w14:paraId="28A56581" w14:textId="77777777" w:rsidR="00886CA4" w:rsidRDefault="00F12CE6" w:rsidP="006D229C">
            <w:pPr>
              <w:snapToGrid w:val="0"/>
              <w:spacing w:before="120" w:after="120"/>
              <w:jc w:val="center"/>
              <w:rPr>
                <w:rFonts w:cs="Times New Roman"/>
                <w:i/>
                <w:sz w:val="24"/>
              </w:rPr>
            </w:pPr>
            <w:r>
              <w:rPr>
                <w:rFonts w:cs="Times New Roman"/>
                <w:i/>
                <w:sz w:val="24"/>
              </w:rPr>
              <w:t xml:space="preserve">Rigas Dizelis </w:t>
            </w:r>
            <w:r w:rsidR="00941CEF" w:rsidRPr="00117C05">
              <w:rPr>
                <w:rFonts w:cs="Times New Roman"/>
                <w:i/>
                <w:sz w:val="24"/>
              </w:rPr>
              <w:t xml:space="preserve"> </w:t>
            </w:r>
          </w:p>
          <w:p w14:paraId="65FFEB12" w14:textId="6588D460" w:rsidR="00291BB9" w:rsidRPr="00886CA4" w:rsidRDefault="00886CA4" w:rsidP="00886CA4">
            <w:pPr>
              <w:jc w:val="center"/>
              <w:rPr>
                <w:b/>
                <w:bCs/>
                <w:sz w:val="24"/>
                <w:szCs w:val="24"/>
              </w:rPr>
            </w:pPr>
            <w:r w:rsidRPr="00886CA4">
              <w:rPr>
                <w:rStyle w:val="fontstyle01"/>
                <w:b w:val="0"/>
                <w:bCs w:val="0"/>
                <w:sz w:val="24"/>
                <w:szCs w:val="24"/>
              </w:rPr>
              <w:t>E100F5LAST</w:t>
            </w:r>
          </w:p>
          <w:p w14:paraId="7B1BA837" w14:textId="5A8CBDE7" w:rsidR="008547F9" w:rsidRPr="00117C05" w:rsidRDefault="008547F9" w:rsidP="006D229C">
            <w:pPr>
              <w:snapToGrid w:val="0"/>
              <w:spacing w:before="120" w:after="120"/>
              <w:jc w:val="center"/>
              <w:rPr>
                <w:rFonts w:cs="Times New Roman"/>
                <w:i/>
                <w:sz w:val="24"/>
              </w:rPr>
            </w:pPr>
          </w:p>
        </w:tc>
        <w:tc>
          <w:tcPr>
            <w:tcW w:w="2551" w:type="dxa"/>
            <w:tcBorders>
              <w:top w:val="single" w:sz="4" w:space="0" w:color="000000"/>
              <w:left w:val="single" w:sz="4" w:space="0" w:color="000000"/>
              <w:bottom w:val="single" w:sz="4" w:space="0" w:color="000000"/>
              <w:right w:val="single" w:sz="4" w:space="0" w:color="000000"/>
            </w:tcBorders>
          </w:tcPr>
          <w:p w14:paraId="1EF27EFA" w14:textId="77777777" w:rsidR="00291BB9" w:rsidRPr="00117C05" w:rsidRDefault="00291BB9" w:rsidP="006D229C">
            <w:pPr>
              <w:snapToGrid w:val="0"/>
              <w:spacing w:before="120" w:after="120"/>
              <w:rPr>
                <w:rFonts w:cs="Times New Roman"/>
                <w:i/>
                <w:sz w:val="24"/>
              </w:rPr>
            </w:pPr>
          </w:p>
          <w:p w14:paraId="57FE02F4" w14:textId="77777777" w:rsidR="00291BB9" w:rsidRPr="00117C05" w:rsidRDefault="00291BB9" w:rsidP="006D229C">
            <w:pPr>
              <w:spacing w:before="120" w:after="120"/>
              <w:jc w:val="center"/>
              <w:rPr>
                <w:rFonts w:cs="Times New Roman"/>
                <w:i/>
                <w:sz w:val="24"/>
              </w:rPr>
            </w:pPr>
          </w:p>
        </w:tc>
      </w:tr>
    </w:tbl>
    <w:p w14:paraId="6DCF5351" w14:textId="77777777" w:rsidR="00060BB5" w:rsidRPr="00117C05" w:rsidRDefault="00060BB5" w:rsidP="006D229C">
      <w:pPr>
        <w:spacing w:before="120" w:after="120"/>
        <w:ind w:left="567" w:hanging="567"/>
        <w:jc w:val="both"/>
        <w:rPr>
          <w:rFonts w:cs="Times New Roman"/>
          <w:sz w:val="20"/>
          <w:szCs w:val="20"/>
          <w:lang w:val="en-AU" w:eastAsia="ar-SA"/>
        </w:rPr>
      </w:pPr>
    </w:p>
    <w:p w14:paraId="7FAE9AE3" w14:textId="541851FB" w:rsidR="00AA4DF7" w:rsidRPr="00117C05" w:rsidRDefault="00224063" w:rsidP="006D229C">
      <w:pPr>
        <w:pStyle w:val="1stlevelheading"/>
        <w:spacing w:before="120" w:after="120"/>
      </w:pPr>
      <w:r w:rsidRPr="00117C05">
        <w:t>lepinguga hõlmatud hooldustööde kirjeldus</w:t>
      </w:r>
    </w:p>
    <w:p w14:paraId="6878FA30" w14:textId="21CBD3BD" w:rsidR="00AA4DF7" w:rsidRPr="00117C05" w:rsidRDefault="00AA4DF7" w:rsidP="006D229C">
      <w:pPr>
        <w:pStyle w:val="2ndlevelprovision"/>
      </w:pPr>
      <w:r w:rsidRPr="00117C05">
        <w:t>Tööde kirjeldus</w:t>
      </w:r>
    </w:p>
    <w:p w14:paraId="4B05B364" w14:textId="77777777" w:rsidR="00B33DB7" w:rsidRDefault="00AA4DF7" w:rsidP="006D229C">
      <w:pPr>
        <w:pStyle w:val="3rdlevelsubprovision"/>
        <w:rPr>
          <w:lang w:val="et-EE"/>
        </w:rPr>
      </w:pPr>
      <w:r w:rsidRPr="00117C05">
        <w:rPr>
          <w:lang w:val="et-EE"/>
        </w:rPr>
        <w:t>Generaatorseadme(te) korraline hooldus üks (1) kord aastas.</w:t>
      </w:r>
    </w:p>
    <w:p w14:paraId="56A1AA4E" w14:textId="4E333579" w:rsidR="00953743" w:rsidRPr="00561C66" w:rsidRDefault="00953743" w:rsidP="00953743">
      <w:pPr>
        <w:pStyle w:val="3rdlevelsubprovision"/>
        <w:numPr>
          <w:ilvl w:val="0"/>
          <w:numId w:val="0"/>
        </w:numPr>
        <w:ind w:left="964"/>
        <w:rPr>
          <w:lang w:val="et-EE"/>
        </w:rPr>
      </w:pPr>
      <w:bookmarkStart w:id="8" w:name="_Hlk181971990"/>
      <w:r w:rsidRPr="00561C66">
        <w:rPr>
          <w:lang w:val="et-EE"/>
        </w:rPr>
        <w:t>-</w:t>
      </w:r>
      <w:r w:rsidRPr="00561C66">
        <w:rPr>
          <w:lang w:val="et-EE"/>
        </w:rPr>
        <w:tab/>
        <w:t>õlivahetus ja kasutatud õli utiliseerimine</w:t>
      </w:r>
    </w:p>
    <w:p w14:paraId="130F450F"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õlifiltrite vahetus</w:t>
      </w:r>
    </w:p>
    <w:p w14:paraId="4BD9184E"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kütusefiltrite vahetus</w:t>
      </w:r>
    </w:p>
    <w:p w14:paraId="62864997"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maanduskontuuri ja jõuühenduste kontroll</w:t>
      </w:r>
    </w:p>
    <w:p w14:paraId="54C21D37"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laadimisgeneraatori rihma pingutamine ja kontroll</w:t>
      </w:r>
    </w:p>
    <w:p w14:paraId="35E7AE62"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seadme elektriliste parameetrite kontroll ja salvest</w:t>
      </w:r>
      <w:r>
        <w:rPr>
          <w:lang w:val="et-EE"/>
        </w:rPr>
        <w:t>a</w:t>
      </w:r>
      <w:r w:rsidRPr="00561C66">
        <w:rPr>
          <w:lang w:val="et-EE"/>
        </w:rPr>
        <w:t>mine</w:t>
      </w:r>
    </w:p>
    <w:p w14:paraId="1419B28E"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 xml:space="preserve">laadimisgeneraatori ja akulaadija pinge </w:t>
      </w:r>
    </w:p>
    <w:bookmarkEnd w:id="8"/>
    <w:p w14:paraId="38E3B9F8"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turvaahelate kontroll</w:t>
      </w:r>
    </w:p>
    <w:p w14:paraId="13622468" w14:textId="77777777" w:rsidR="00953743" w:rsidRPr="00561C66" w:rsidRDefault="00953743" w:rsidP="00953743">
      <w:pPr>
        <w:pStyle w:val="3rdlevelsubprovision"/>
        <w:numPr>
          <w:ilvl w:val="0"/>
          <w:numId w:val="0"/>
        </w:numPr>
        <w:ind w:left="964"/>
        <w:rPr>
          <w:lang w:val="et-EE"/>
        </w:rPr>
      </w:pPr>
      <w:r w:rsidRPr="00561C66">
        <w:rPr>
          <w:lang w:val="et-EE"/>
        </w:rPr>
        <w:t>-</w:t>
      </w:r>
      <w:r w:rsidRPr="00561C66">
        <w:rPr>
          <w:lang w:val="et-EE"/>
        </w:rPr>
        <w:tab/>
        <w:t xml:space="preserve">koormusega proovikäivitus 1h </w:t>
      </w:r>
    </w:p>
    <w:p w14:paraId="7C339710" w14:textId="44AFD4F3" w:rsidR="00B33DB7" w:rsidRDefault="00953743" w:rsidP="003B600F">
      <w:pPr>
        <w:pStyle w:val="3rdlevelsubprovision"/>
        <w:numPr>
          <w:ilvl w:val="0"/>
          <w:numId w:val="0"/>
        </w:numPr>
        <w:ind w:left="964"/>
        <w:rPr>
          <w:lang w:val="et-EE"/>
        </w:rPr>
      </w:pPr>
      <w:r w:rsidRPr="00561C66">
        <w:rPr>
          <w:lang w:val="et-EE"/>
        </w:rPr>
        <w:t>-</w:t>
      </w:r>
      <w:r w:rsidRPr="00561C66">
        <w:rPr>
          <w:lang w:val="et-EE"/>
        </w:rPr>
        <w:tab/>
        <w:t>antifriisi vahetus (kord 2 aasta järel)</w:t>
      </w:r>
    </w:p>
    <w:p w14:paraId="464035D1" w14:textId="3EDA9045" w:rsidR="00CC12C6" w:rsidRPr="002E64BE" w:rsidRDefault="00CC12C6" w:rsidP="00CC12C6">
      <w:pPr>
        <w:pStyle w:val="3rdlevelsubprovision"/>
        <w:numPr>
          <w:ilvl w:val="0"/>
          <w:numId w:val="0"/>
        </w:numPr>
        <w:ind w:left="964"/>
        <w:rPr>
          <w:lang w:val="et-EE"/>
        </w:rPr>
      </w:pPr>
      <w:r>
        <w:rPr>
          <w:lang w:val="et-EE"/>
        </w:rPr>
        <w:t>-</w:t>
      </w:r>
      <w:r>
        <w:rPr>
          <w:lang w:val="et-EE"/>
        </w:rPr>
        <w:tab/>
        <w:t>seadme puhastamine tolmust</w:t>
      </w:r>
    </w:p>
    <w:p w14:paraId="285D663F" w14:textId="77777777" w:rsidR="00CC12C6" w:rsidRPr="002E64BE" w:rsidRDefault="00CC12C6" w:rsidP="00CC12C6">
      <w:pPr>
        <w:pStyle w:val="3rdlevelsubprovision"/>
        <w:numPr>
          <w:ilvl w:val="0"/>
          <w:numId w:val="0"/>
        </w:numPr>
        <w:ind w:left="964"/>
        <w:rPr>
          <w:lang w:val="et-EE"/>
        </w:rPr>
      </w:pPr>
      <w:r w:rsidRPr="002E64BE">
        <w:rPr>
          <w:lang w:val="et-EE"/>
        </w:rPr>
        <w:t>-</w:t>
      </w:r>
      <w:r w:rsidRPr="002E64BE">
        <w:rPr>
          <w:lang w:val="et-EE"/>
        </w:rPr>
        <w:tab/>
      </w:r>
      <w:r>
        <w:rPr>
          <w:lang w:val="et-EE"/>
        </w:rPr>
        <w:t>koormusega proovikäivitus 1h</w:t>
      </w:r>
    </w:p>
    <w:p w14:paraId="22285821" w14:textId="77777777" w:rsidR="00CC12C6" w:rsidRPr="002E64BE" w:rsidRDefault="00CC12C6" w:rsidP="00CC12C6">
      <w:pPr>
        <w:pStyle w:val="3rdlevelsubprovision"/>
        <w:numPr>
          <w:ilvl w:val="0"/>
          <w:numId w:val="0"/>
        </w:numPr>
        <w:ind w:left="964"/>
        <w:rPr>
          <w:lang w:val="et-EE"/>
        </w:rPr>
      </w:pPr>
      <w:r w:rsidRPr="002E64BE">
        <w:rPr>
          <w:lang w:val="et-EE"/>
        </w:rPr>
        <w:t>-</w:t>
      </w:r>
      <w:r w:rsidRPr="002E64BE">
        <w:rPr>
          <w:lang w:val="et-EE"/>
        </w:rPr>
        <w:tab/>
        <w:t>õlitussüsteemi kontroll ja vajadusel õli lisamine</w:t>
      </w:r>
    </w:p>
    <w:p w14:paraId="00C9AA48" w14:textId="77777777" w:rsidR="00CC12C6" w:rsidRPr="002E64BE" w:rsidRDefault="00CC12C6" w:rsidP="00CC12C6">
      <w:pPr>
        <w:pStyle w:val="3rdlevelsubprovision"/>
        <w:numPr>
          <w:ilvl w:val="0"/>
          <w:numId w:val="0"/>
        </w:numPr>
        <w:ind w:left="964"/>
        <w:rPr>
          <w:lang w:val="et-EE"/>
        </w:rPr>
      </w:pPr>
      <w:r w:rsidRPr="002E64BE">
        <w:rPr>
          <w:lang w:val="et-EE"/>
        </w:rPr>
        <w:t>-</w:t>
      </w:r>
      <w:r w:rsidRPr="002E64BE">
        <w:rPr>
          <w:lang w:val="et-EE"/>
        </w:rPr>
        <w:tab/>
      </w:r>
      <w:r w:rsidRPr="00767592">
        <w:t>jahutussüsteemi kontroll ja vajadusel antifriisi lisamine</w:t>
      </w:r>
    </w:p>
    <w:p w14:paraId="539639C9" w14:textId="77777777" w:rsidR="00CC12C6" w:rsidRPr="002E64BE" w:rsidRDefault="00CC12C6" w:rsidP="00CC12C6">
      <w:pPr>
        <w:pStyle w:val="3rdlevelsubprovision"/>
        <w:numPr>
          <w:ilvl w:val="0"/>
          <w:numId w:val="0"/>
        </w:numPr>
        <w:ind w:left="964"/>
        <w:rPr>
          <w:lang w:val="et-EE"/>
        </w:rPr>
      </w:pPr>
      <w:r w:rsidRPr="002E64BE">
        <w:rPr>
          <w:lang w:val="et-EE"/>
        </w:rPr>
        <w:lastRenderedPageBreak/>
        <w:t>-</w:t>
      </w:r>
      <w:r w:rsidRPr="002E64BE">
        <w:rPr>
          <w:lang w:val="et-EE"/>
        </w:rPr>
        <w:tab/>
      </w:r>
      <w:r w:rsidRPr="00767592">
        <w:t>aku laetuse kontroll ja destilleeritud vee lisamine</w:t>
      </w:r>
    </w:p>
    <w:p w14:paraId="4533C59D" w14:textId="77777777" w:rsidR="00CC12C6" w:rsidRPr="002E64BE" w:rsidRDefault="00CC12C6" w:rsidP="00CC12C6">
      <w:pPr>
        <w:pStyle w:val="3rdlevelsubprovision"/>
        <w:numPr>
          <w:ilvl w:val="0"/>
          <w:numId w:val="0"/>
        </w:numPr>
        <w:ind w:left="964"/>
        <w:rPr>
          <w:lang w:val="et-EE"/>
        </w:rPr>
      </w:pPr>
      <w:r w:rsidRPr="002E64BE">
        <w:rPr>
          <w:lang w:val="et-EE"/>
        </w:rPr>
        <w:t>-</w:t>
      </w:r>
      <w:r w:rsidRPr="002E64BE">
        <w:rPr>
          <w:lang w:val="et-EE"/>
        </w:rPr>
        <w:tab/>
      </w:r>
      <w:r w:rsidRPr="00117C05">
        <w:rPr>
          <w:lang w:val="et-EE"/>
        </w:rPr>
        <w:t>plokisoojendus elemendi töö kontroll</w:t>
      </w:r>
    </w:p>
    <w:p w14:paraId="7DC965C5" w14:textId="0A423C7C" w:rsidR="00D50992" w:rsidRPr="00AE1B74" w:rsidRDefault="00CC12C6" w:rsidP="00393AC6">
      <w:pPr>
        <w:pStyle w:val="3rdlevelsubprovision"/>
        <w:numPr>
          <w:ilvl w:val="0"/>
          <w:numId w:val="0"/>
        </w:numPr>
        <w:ind w:left="964"/>
        <w:rPr>
          <w:lang w:val="et-EE"/>
        </w:rPr>
      </w:pPr>
      <w:r w:rsidRPr="002E64BE">
        <w:rPr>
          <w:lang w:val="et-EE"/>
        </w:rPr>
        <w:t>-</w:t>
      </w:r>
      <w:r w:rsidRPr="002E64BE">
        <w:rPr>
          <w:lang w:val="et-EE"/>
        </w:rPr>
        <w:tab/>
      </w:r>
      <w:r w:rsidRPr="00117C05">
        <w:rPr>
          <w:lang w:val="et-EE"/>
        </w:rPr>
        <w:t>häireahelate kontroll</w:t>
      </w:r>
    </w:p>
    <w:p w14:paraId="3658704B" w14:textId="77777777" w:rsidR="003B600F" w:rsidRDefault="003B600F" w:rsidP="003B600F">
      <w:pPr>
        <w:pStyle w:val="3rdlevelsubprovision"/>
        <w:numPr>
          <w:ilvl w:val="0"/>
          <w:numId w:val="0"/>
        </w:numPr>
        <w:ind w:left="964" w:hanging="964"/>
        <w:rPr>
          <w:lang w:val="et-EE"/>
        </w:rPr>
      </w:pPr>
    </w:p>
    <w:p w14:paraId="191BAD87" w14:textId="77777777" w:rsidR="00C02E4B" w:rsidRPr="00117C05" w:rsidRDefault="00C02E4B" w:rsidP="00C02E4B">
      <w:pPr>
        <w:pStyle w:val="SLONormal"/>
      </w:pPr>
    </w:p>
    <w:p w14:paraId="558359BB" w14:textId="372FD117" w:rsidR="00AA4DF7" w:rsidRPr="00117C05" w:rsidRDefault="00AA4DF7" w:rsidP="006D229C">
      <w:pPr>
        <w:pStyle w:val="1stlevelheading"/>
        <w:spacing w:before="120" w:after="120"/>
      </w:pPr>
      <w:r w:rsidRPr="00117C05">
        <w:t>Lepinguga hõlmatud hooldustööde maksumus</w:t>
      </w:r>
    </w:p>
    <w:p w14:paraId="5C108944" w14:textId="0B110FC4" w:rsidR="00060BB5" w:rsidRPr="00117C05" w:rsidRDefault="00060BB5" w:rsidP="006D229C">
      <w:pPr>
        <w:suppressAutoHyphens/>
        <w:spacing w:before="120" w:after="120"/>
        <w:jc w:val="both"/>
        <w:rPr>
          <w:rFonts w:cs="Times New Roman"/>
          <w:sz w:val="24"/>
        </w:rPr>
      </w:pPr>
    </w:p>
    <w:tbl>
      <w:tblPr>
        <w:tblW w:w="8956" w:type="dxa"/>
        <w:tblInd w:w="120" w:type="dxa"/>
        <w:tblLayout w:type="fixed"/>
        <w:tblCellMar>
          <w:left w:w="120" w:type="dxa"/>
          <w:right w:w="120" w:type="dxa"/>
        </w:tblCellMar>
        <w:tblLook w:val="04A0" w:firstRow="1" w:lastRow="0" w:firstColumn="1" w:lastColumn="0" w:noHBand="0" w:noVBand="1"/>
      </w:tblPr>
      <w:tblGrid>
        <w:gridCol w:w="4111"/>
        <w:gridCol w:w="2126"/>
        <w:gridCol w:w="993"/>
        <w:gridCol w:w="1726"/>
      </w:tblGrid>
      <w:tr w:rsidR="00060BB5" w:rsidRPr="00117C05" w14:paraId="7834CD24" w14:textId="77777777" w:rsidTr="00B634AB">
        <w:tc>
          <w:tcPr>
            <w:tcW w:w="4111" w:type="dxa"/>
            <w:tcBorders>
              <w:top w:val="single" w:sz="4" w:space="0" w:color="000000"/>
              <w:left w:val="single" w:sz="4" w:space="0" w:color="000000"/>
              <w:bottom w:val="nil"/>
              <w:right w:val="nil"/>
            </w:tcBorders>
            <w:vAlign w:val="center"/>
            <w:hideMark/>
          </w:tcPr>
          <w:p w14:paraId="016EE7AC" w14:textId="77777777" w:rsidR="00060BB5" w:rsidRPr="00117C05" w:rsidRDefault="00060BB5" w:rsidP="006D229C">
            <w:pPr>
              <w:snapToGrid w:val="0"/>
              <w:spacing w:before="120" w:after="120"/>
              <w:jc w:val="center"/>
              <w:rPr>
                <w:rFonts w:cs="Times New Roman"/>
                <w:b/>
                <w:sz w:val="24"/>
              </w:rPr>
            </w:pPr>
            <w:r w:rsidRPr="00117C05">
              <w:rPr>
                <w:rFonts w:cs="Times New Roman"/>
                <w:b/>
                <w:sz w:val="24"/>
              </w:rPr>
              <w:t>Seade</w:t>
            </w:r>
          </w:p>
        </w:tc>
        <w:tc>
          <w:tcPr>
            <w:tcW w:w="2126" w:type="dxa"/>
            <w:tcBorders>
              <w:top w:val="single" w:sz="4" w:space="0" w:color="000000"/>
              <w:left w:val="single" w:sz="4" w:space="0" w:color="000000"/>
              <w:bottom w:val="single" w:sz="4" w:space="0" w:color="000000"/>
              <w:right w:val="nil"/>
            </w:tcBorders>
            <w:vAlign w:val="center"/>
            <w:hideMark/>
          </w:tcPr>
          <w:p w14:paraId="2F85B5B1" w14:textId="77777777" w:rsidR="00060BB5" w:rsidRDefault="00060BB5" w:rsidP="006D229C">
            <w:pPr>
              <w:snapToGrid w:val="0"/>
              <w:spacing w:before="120" w:after="120"/>
              <w:jc w:val="center"/>
              <w:rPr>
                <w:rFonts w:cs="Times New Roman"/>
                <w:b/>
                <w:sz w:val="24"/>
              </w:rPr>
            </w:pPr>
            <w:r w:rsidRPr="00117C05">
              <w:rPr>
                <w:rFonts w:cs="Times New Roman"/>
                <w:b/>
                <w:sz w:val="24"/>
              </w:rPr>
              <w:t>Baashooldusmaks</w:t>
            </w:r>
          </w:p>
          <w:p w14:paraId="16BA6F87" w14:textId="379819A6" w:rsidR="00E01C69" w:rsidRPr="00117C05" w:rsidRDefault="00E01C69" w:rsidP="006D229C">
            <w:pPr>
              <w:snapToGrid w:val="0"/>
              <w:spacing w:before="120" w:after="120"/>
              <w:jc w:val="center"/>
              <w:rPr>
                <w:rFonts w:cs="Times New Roman"/>
                <w:b/>
                <w:sz w:val="24"/>
              </w:rPr>
            </w:pPr>
            <w:r>
              <w:rPr>
                <w:rFonts w:cs="Times New Roman"/>
                <w:b/>
                <w:sz w:val="24"/>
              </w:rPr>
              <w:t>€</w:t>
            </w:r>
          </w:p>
        </w:tc>
        <w:tc>
          <w:tcPr>
            <w:tcW w:w="993" w:type="dxa"/>
            <w:tcBorders>
              <w:top w:val="single" w:sz="4" w:space="0" w:color="000000"/>
              <w:left w:val="single" w:sz="4" w:space="0" w:color="000000"/>
              <w:bottom w:val="single" w:sz="4" w:space="0" w:color="000000"/>
              <w:right w:val="nil"/>
            </w:tcBorders>
            <w:vAlign w:val="center"/>
            <w:hideMark/>
          </w:tcPr>
          <w:p w14:paraId="095550CF" w14:textId="77777777" w:rsidR="00060BB5" w:rsidRPr="00117C05" w:rsidRDefault="00060BB5" w:rsidP="006D229C">
            <w:pPr>
              <w:snapToGrid w:val="0"/>
              <w:spacing w:before="120" w:after="120"/>
              <w:jc w:val="center"/>
              <w:rPr>
                <w:rFonts w:cs="Times New Roman"/>
                <w:b/>
                <w:sz w:val="24"/>
              </w:rPr>
            </w:pPr>
            <w:r w:rsidRPr="00117C05">
              <w:rPr>
                <w:rFonts w:cs="Times New Roman"/>
                <w:b/>
                <w:sz w:val="24"/>
              </w:rPr>
              <w:t>Kogus</w:t>
            </w:r>
          </w:p>
        </w:tc>
        <w:tc>
          <w:tcPr>
            <w:tcW w:w="1726" w:type="dxa"/>
            <w:tcBorders>
              <w:top w:val="single" w:sz="4" w:space="0" w:color="000000"/>
              <w:left w:val="single" w:sz="4" w:space="0" w:color="000000"/>
              <w:bottom w:val="single" w:sz="4" w:space="0" w:color="000000"/>
              <w:right w:val="single" w:sz="4" w:space="0" w:color="000000"/>
            </w:tcBorders>
            <w:vAlign w:val="center"/>
            <w:hideMark/>
          </w:tcPr>
          <w:p w14:paraId="2909CE1C" w14:textId="7796CDB9" w:rsidR="00060BB5" w:rsidRPr="00117C05" w:rsidRDefault="00060BB5" w:rsidP="006D229C">
            <w:pPr>
              <w:snapToGrid w:val="0"/>
              <w:spacing w:before="120" w:after="120"/>
              <w:jc w:val="center"/>
              <w:rPr>
                <w:rFonts w:cs="Times New Roman"/>
                <w:b/>
                <w:sz w:val="24"/>
              </w:rPr>
            </w:pPr>
            <w:r w:rsidRPr="00117C05">
              <w:rPr>
                <w:rFonts w:cs="Times New Roman"/>
                <w:b/>
                <w:sz w:val="24"/>
              </w:rPr>
              <w:t>Summa aastas</w:t>
            </w:r>
            <w:r w:rsidR="00E01C69">
              <w:rPr>
                <w:rFonts w:cs="Times New Roman"/>
                <w:b/>
                <w:sz w:val="24"/>
              </w:rPr>
              <w:t xml:space="preserve"> €</w:t>
            </w:r>
          </w:p>
        </w:tc>
      </w:tr>
      <w:tr w:rsidR="00060BB5" w:rsidRPr="00117C05" w14:paraId="5BC1842E" w14:textId="77777777" w:rsidTr="00E01C69">
        <w:tc>
          <w:tcPr>
            <w:tcW w:w="4111" w:type="dxa"/>
            <w:tcBorders>
              <w:top w:val="single" w:sz="4" w:space="0" w:color="000000"/>
              <w:left w:val="single" w:sz="4" w:space="0" w:color="000000"/>
              <w:bottom w:val="single" w:sz="4" w:space="0" w:color="000000"/>
              <w:right w:val="nil"/>
            </w:tcBorders>
            <w:vAlign w:val="center"/>
            <w:hideMark/>
          </w:tcPr>
          <w:p w14:paraId="1CAED2C8" w14:textId="7D15E6E2" w:rsidR="00060BB5" w:rsidRPr="00117C05" w:rsidRDefault="00060BB5" w:rsidP="006D229C">
            <w:pPr>
              <w:snapToGrid w:val="0"/>
              <w:spacing w:before="120" w:after="120"/>
              <w:jc w:val="center"/>
              <w:rPr>
                <w:rFonts w:cs="Times New Roman"/>
                <w:i/>
                <w:sz w:val="24"/>
              </w:rPr>
            </w:pPr>
            <w:r w:rsidRPr="00117C05">
              <w:rPr>
                <w:rFonts w:cs="Times New Roman"/>
                <w:i/>
                <w:sz w:val="24"/>
              </w:rPr>
              <w:t>Diiselgeneraator</w:t>
            </w:r>
            <w:r w:rsidR="006D229C" w:rsidRPr="00117C05">
              <w:rPr>
                <w:rFonts w:cs="Times New Roman"/>
                <w:i/>
                <w:sz w:val="24"/>
              </w:rPr>
              <w:t>i</w:t>
            </w:r>
            <w:r w:rsidR="007D6B74">
              <w:rPr>
                <w:rFonts w:cs="Times New Roman"/>
                <w:i/>
                <w:sz w:val="24"/>
              </w:rPr>
              <w:t xml:space="preserve"> </w:t>
            </w:r>
            <w:r w:rsidR="00886CA4" w:rsidRPr="00886CA4">
              <w:rPr>
                <w:rFonts w:cs="Times New Roman"/>
                <w:i/>
                <w:sz w:val="24"/>
              </w:rPr>
              <w:t>E100F5LAST</w:t>
            </w:r>
            <w:r w:rsidR="000C398E">
              <w:rPr>
                <w:rFonts w:cs="Times New Roman"/>
                <w:i/>
                <w:sz w:val="24"/>
              </w:rPr>
              <w:t xml:space="preserve"> </w:t>
            </w:r>
            <w:r w:rsidRPr="00117C05">
              <w:rPr>
                <w:rFonts w:cs="Times New Roman"/>
                <w:i/>
                <w:sz w:val="24"/>
              </w:rPr>
              <w:t xml:space="preserve"> aas</w:t>
            </w:r>
            <w:r w:rsidR="00AE5ED9" w:rsidRPr="00117C05">
              <w:rPr>
                <w:rFonts w:cs="Times New Roman"/>
                <w:i/>
                <w:sz w:val="24"/>
              </w:rPr>
              <w:t>t</w:t>
            </w:r>
            <w:r w:rsidRPr="00117C05">
              <w:rPr>
                <w:rFonts w:cs="Times New Roman"/>
                <w:i/>
                <w:sz w:val="24"/>
              </w:rPr>
              <w:t xml:space="preserve">ahooldus </w:t>
            </w:r>
          </w:p>
        </w:tc>
        <w:tc>
          <w:tcPr>
            <w:tcW w:w="2126" w:type="dxa"/>
            <w:tcBorders>
              <w:top w:val="single" w:sz="4" w:space="0" w:color="000000"/>
              <w:left w:val="single" w:sz="4" w:space="0" w:color="000000"/>
              <w:bottom w:val="single" w:sz="4" w:space="0" w:color="000000"/>
              <w:right w:val="nil"/>
            </w:tcBorders>
            <w:vAlign w:val="center"/>
            <w:hideMark/>
          </w:tcPr>
          <w:p w14:paraId="79D905B7" w14:textId="106C2EFB" w:rsidR="00060BB5" w:rsidRPr="00117C05" w:rsidRDefault="00652282" w:rsidP="00652282">
            <w:pPr>
              <w:snapToGrid w:val="0"/>
              <w:spacing w:before="120" w:after="120"/>
              <w:rPr>
                <w:rFonts w:cs="Times New Roman"/>
                <w:i/>
                <w:sz w:val="24"/>
              </w:rPr>
            </w:pPr>
            <w:r>
              <w:rPr>
                <w:rFonts w:cs="Times New Roman"/>
                <w:i/>
                <w:sz w:val="24"/>
              </w:rPr>
              <w:t xml:space="preserve">              </w:t>
            </w:r>
            <w:r w:rsidR="00F12CE6">
              <w:rPr>
                <w:rFonts w:cs="Times New Roman"/>
                <w:i/>
                <w:sz w:val="24"/>
              </w:rPr>
              <w:t>410</w:t>
            </w:r>
          </w:p>
        </w:tc>
        <w:tc>
          <w:tcPr>
            <w:tcW w:w="993" w:type="dxa"/>
            <w:tcBorders>
              <w:top w:val="single" w:sz="4" w:space="0" w:color="000000"/>
              <w:left w:val="single" w:sz="4" w:space="0" w:color="000000"/>
              <w:bottom w:val="single" w:sz="4" w:space="0" w:color="000000"/>
              <w:right w:val="nil"/>
            </w:tcBorders>
            <w:vAlign w:val="center"/>
            <w:hideMark/>
          </w:tcPr>
          <w:p w14:paraId="15BD2D20" w14:textId="77777777" w:rsidR="00060BB5" w:rsidRPr="00117C05" w:rsidRDefault="00060BB5" w:rsidP="006D229C">
            <w:pPr>
              <w:snapToGrid w:val="0"/>
              <w:spacing w:before="120" w:after="120"/>
              <w:jc w:val="center"/>
              <w:rPr>
                <w:rFonts w:cs="Times New Roman"/>
                <w:sz w:val="24"/>
              </w:rPr>
            </w:pPr>
            <w:r w:rsidRPr="00117C05">
              <w:rPr>
                <w:rFonts w:cs="Times New Roman"/>
                <w:sz w:val="24"/>
              </w:rPr>
              <w:t>1</w:t>
            </w:r>
          </w:p>
        </w:tc>
        <w:tc>
          <w:tcPr>
            <w:tcW w:w="1726" w:type="dxa"/>
            <w:tcBorders>
              <w:top w:val="single" w:sz="4" w:space="0" w:color="000000"/>
              <w:left w:val="single" w:sz="4" w:space="0" w:color="000000"/>
              <w:bottom w:val="single" w:sz="4" w:space="0" w:color="000000"/>
              <w:right w:val="single" w:sz="4" w:space="0" w:color="000000"/>
            </w:tcBorders>
            <w:vAlign w:val="center"/>
          </w:tcPr>
          <w:p w14:paraId="1578F0FB" w14:textId="6B10EABF" w:rsidR="00060BB5" w:rsidRPr="00117C05" w:rsidRDefault="00F12CE6" w:rsidP="006D229C">
            <w:pPr>
              <w:snapToGrid w:val="0"/>
              <w:spacing w:before="120" w:after="120"/>
              <w:jc w:val="center"/>
              <w:rPr>
                <w:rFonts w:cs="Times New Roman"/>
                <w:sz w:val="24"/>
              </w:rPr>
            </w:pPr>
            <w:r>
              <w:rPr>
                <w:rFonts w:cs="Times New Roman"/>
                <w:sz w:val="24"/>
              </w:rPr>
              <w:t>410</w:t>
            </w:r>
          </w:p>
        </w:tc>
      </w:tr>
      <w:tr w:rsidR="00060BB5" w:rsidRPr="00117C05" w14:paraId="10A07611" w14:textId="77777777" w:rsidTr="007D6B74">
        <w:tc>
          <w:tcPr>
            <w:tcW w:w="4111" w:type="dxa"/>
            <w:tcBorders>
              <w:top w:val="single" w:sz="4" w:space="0" w:color="000000"/>
              <w:left w:val="single" w:sz="4" w:space="0" w:color="000000"/>
              <w:bottom w:val="single" w:sz="4" w:space="0" w:color="000000"/>
              <w:right w:val="nil"/>
            </w:tcBorders>
            <w:vAlign w:val="center"/>
          </w:tcPr>
          <w:p w14:paraId="29F8BEFD" w14:textId="05EB2B26" w:rsidR="00060BB5" w:rsidRPr="00117C05" w:rsidRDefault="00060BB5" w:rsidP="006D229C">
            <w:pPr>
              <w:snapToGrid w:val="0"/>
              <w:spacing w:before="120" w:after="120"/>
              <w:jc w:val="center"/>
              <w:rPr>
                <w:rFonts w:cs="Times New Roman"/>
                <w:i/>
                <w:sz w:val="24"/>
              </w:rPr>
            </w:pPr>
          </w:p>
        </w:tc>
        <w:tc>
          <w:tcPr>
            <w:tcW w:w="2126" w:type="dxa"/>
            <w:tcBorders>
              <w:top w:val="single" w:sz="4" w:space="0" w:color="000000"/>
              <w:left w:val="single" w:sz="4" w:space="0" w:color="000000"/>
              <w:bottom w:val="single" w:sz="4" w:space="0" w:color="000000"/>
              <w:right w:val="nil"/>
            </w:tcBorders>
            <w:vAlign w:val="center"/>
          </w:tcPr>
          <w:p w14:paraId="46C3C76D" w14:textId="700EF0C3" w:rsidR="00060BB5" w:rsidRPr="00117C05" w:rsidRDefault="00060BB5" w:rsidP="00E01C69">
            <w:pPr>
              <w:snapToGrid w:val="0"/>
              <w:spacing w:before="120" w:after="120"/>
              <w:rPr>
                <w:rFonts w:cs="Times New Roman"/>
                <w:i/>
                <w:sz w:val="24"/>
              </w:rPr>
            </w:pPr>
          </w:p>
        </w:tc>
        <w:tc>
          <w:tcPr>
            <w:tcW w:w="993" w:type="dxa"/>
            <w:tcBorders>
              <w:top w:val="single" w:sz="4" w:space="0" w:color="000000"/>
              <w:left w:val="single" w:sz="4" w:space="0" w:color="000000"/>
              <w:bottom w:val="single" w:sz="4" w:space="0" w:color="000000"/>
              <w:right w:val="nil"/>
            </w:tcBorders>
            <w:vAlign w:val="center"/>
          </w:tcPr>
          <w:p w14:paraId="5FC6806E" w14:textId="08C55644" w:rsidR="00886CA4" w:rsidRPr="00117C05" w:rsidRDefault="00886CA4" w:rsidP="00886CA4">
            <w:pPr>
              <w:snapToGrid w:val="0"/>
              <w:spacing w:before="120" w:after="120"/>
              <w:jc w:val="center"/>
              <w:rPr>
                <w:rFonts w:cs="Times New Roman"/>
                <w:sz w:val="24"/>
              </w:rPr>
            </w:pPr>
          </w:p>
        </w:tc>
        <w:tc>
          <w:tcPr>
            <w:tcW w:w="1726" w:type="dxa"/>
            <w:tcBorders>
              <w:top w:val="single" w:sz="4" w:space="0" w:color="000000"/>
              <w:left w:val="single" w:sz="4" w:space="0" w:color="000000"/>
              <w:bottom w:val="single" w:sz="4" w:space="0" w:color="000000"/>
              <w:right w:val="single" w:sz="4" w:space="0" w:color="000000"/>
            </w:tcBorders>
            <w:vAlign w:val="center"/>
          </w:tcPr>
          <w:p w14:paraId="5D39E203" w14:textId="49BA3721" w:rsidR="00060BB5" w:rsidRPr="00117C05" w:rsidRDefault="00060BB5" w:rsidP="006D229C">
            <w:pPr>
              <w:snapToGrid w:val="0"/>
              <w:spacing w:before="120" w:after="120"/>
              <w:jc w:val="center"/>
              <w:rPr>
                <w:rFonts w:cs="Times New Roman"/>
                <w:sz w:val="24"/>
              </w:rPr>
            </w:pPr>
          </w:p>
        </w:tc>
      </w:tr>
      <w:tr w:rsidR="00060BB5" w:rsidRPr="00117C05" w14:paraId="75FEE417" w14:textId="77777777" w:rsidTr="00B634AB">
        <w:tc>
          <w:tcPr>
            <w:tcW w:w="4111" w:type="dxa"/>
            <w:tcBorders>
              <w:top w:val="nil"/>
              <w:left w:val="single" w:sz="4" w:space="0" w:color="000000"/>
              <w:bottom w:val="single" w:sz="4" w:space="0" w:color="000000"/>
              <w:right w:val="nil"/>
            </w:tcBorders>
            <w:vAlign w:val="center"/>
          </w:tcPr>
          <w:p w14:paraId="3474488F" w14:textId="165AB0D6" w:rsidR="00060BB5" w:rsidRPr="00117C05" w:rsidRDefault="00060BB5" w:rsidP="006D229C">
            <w:pPr>
              <w:snapToGrid w:val="0"/>
              <w:spacing w:before="120" w:after="120"/>
              <w:jc w:val="center"/>
              <w:rPr>
                <w:rFonts w:cs="Times New Roman"/>
                <w:i/>
                <w:sz w:val="24"/>
              </w:rPr>
            </w:pPr>
          </w:p>
        </w:tc>
        <w:tc>
          <w:tcPr>
            <w:tcW w:w="2126" w:type="dxa"/>
            <w:tcBorders>
              <w:top w:val="nil"/>
              <w:left w:val="single" w:sz="4" w:space="0" w:color="000000"/>
              <w:bottom w:val="single" w:sz="4" w:space="0" w:color="000000"/>
              <w:right w:val="nil"/>
            </w:tcBorders>
            <w:vAlign w:val="center"/>
          </w:tcPr>
          <w:p w14:paraId="6C1061A0" w14:textId="0E436D74" w:rsidR="00060BB5" w:rsidRPr="00117C05" w:rsidRDefault="00060BB5" w:rsidP="006D229C">
            <w:pPr>
              <w:snapToGrid w:val="0"/>
              <w:spacing w:before="120" w:after="120"/>
              <w:jc w:val="center"/>
              <w:rPr>
                <w:rFonts w:cs="Times New Roman"/>
                <w:i/>
                <w:sz w:val="24"/>
              </w:rPr>
            </w:pPr>
          </w:p>
        </w:tc>
        <w:tc>
          <w:tcPr>
            <w:tcW w:w="993" w:type="dxa"/>
            <w:tcBorders>
              <w:top w:val="nil"/>
              <w:left w:val="single" w:sz="4" w:space="0" w:color="000000"/>
              <w:bottom w:val="single" w:sz="4" w:space="0" w:color="000000"/>
              <w:right w:val="nil"/>
            </w:tcBorders>
            <w:vAlign w:val="center"/>
          </w:tcPr>
          <w:p w14:paraId="4B7E227F" w14:textId="452D9C02" w:rsidR="00060BB5" w:rsidRPr="00117C05" w:rsidRDefault="00060BB5" w:rsidP="006D229C">
            <w:pPr>
              <w:snapToGrid w:val="0"/>
              <w:spacing w:before="120" w:after="120"/>
              <w:jc w:val="center"/>
              <w:rPr>
                <w:rFonts w:cs="Times New Roman"/>
                <w:sz w:val="24"/>
              </w:rPr>
            </w:pPr>
          </w:p>
        </w:tc>
        <w:tc>
          <w:tcPr>
            <w:tcW w:w="1726" w:type="dxa"/>
            <w:tcBorders>
              <w:top w:val="nil"/>
              <w:left w:val="single" w:sz="4" w:space="0" w:color="000000"/>
              <w:bottom w:val="single" w:sz="4" w:space="0" w:color="000000"/>
              <w:right w:val="single" w:sz="4" w:space="0" w:color="000000"/>
            </w:tcBorders>
            <w:vAlign w:val="center"/>
          </w:tcPr>
          <w:p w14:paraId="40FE4737" w14:textId="572F9FF0" w:rsidR="00060BB5" w:rsidRPr="00117C05" w:rsidRDefault="00060BB5" w:rsidP="006D229C">
            <w:pPr>
              <w:snapToGrid w:val="0"/>
              <w:spacing w:before="120" w:after="120"/>
              <w:jc w:val="center"/>
              <w:rPr>
                <w:rFonts w:cs="Times New Roman"/>
                <w:sz w:val="24"/>
              </w:rPr>
            </w:pPr>
          </w:p>
        </w:tc>
      </w:tr>
      <w:tr w:rsidR="00060BB5" w:rsidRPr="00117C05" w14:paraId="32F64AEC" w14:textId="77777777" w:rsidTr="00B634AB">
        <w:trPr>
          <w:trHeight w:val="352"/>
        </w:trPr>
        <w:tc>
          <w:tcPr>
            <w:tcW w:w="7230" w:type="dxa"/>
            <w:gridSpan w:val="3"/>
            <w:tcBorders>
              <w:top w:val="single" w:sz="4" w:space="0" w:color="000000"/>
              <w:left w:val="single" w:sz="4" w:space="0" w:color="000000"/>
              <w:bottom w:val="single" w:sz="4" w:space="0" w:color="000000"/>
              <w:right w:val="nil"/>
            </w:tcBorders>
            <w:vAlign w:val="center"/>
            <w:hideMark/>
          </w:tcPr>
          <w:p w14:paraId="0F6C8DDB" w14:textId="279DB3EE" w:rsidR="00060BB5" w:rsidRPr="00117C05" w:rsidRDefault="00060BB5" w:rsidP="006D229C">
            <w:pPr>
              <w:snapToGrid w:val="0"/>
              <w:spacing w:before="120" w:after="120"/>
              <w:jc w:val="center"/>
              <w:rPr>
                <w:rFonts w:cs="Times New Roman"/>
                <w:b/>
              </w:rPr>
            </w:pPr>
            <w:bookmarkStart w:id="9" w:name="QuickMark"/>
            <w:bookmarkEnd w:id="9"/>
            <w:r w:rsidRPr="00117C05">
              <w:rPr>
                <w:rFonts w:cs="Times New Roman"/>
                <w:b/>
              </w:rPr>
              <w:t>Hooldustasu aastas kokku</w:t>
            </w:r>
            <w:r w:rsidR="00E01C69">
              <w:rPr>
                <w:rFonts w:cs="Times New Roman"/>
                <w:b/>
              </w:rPr>
              <w:t xml:space="preserve">  €</w:t>
            </w:r>
            <w:r w:rsidR="00F12CE6">
              <w:rPr>
                <w:rFonts w:cs="Times New Roman"/>
                <w:b/>
              </w:rPr>
              <w:t xml:space="preserve"> (+KM)</w:t>
            </w:r>
          </w:p>
        </w:tc>
        <w:tc>
          <w:tcPr>
            <w:tcW w:w="1726" w:type="dxa"/>
            <w:tcBorders>
              <w:top w:val="single" w:sz="4" w:space="0" w:color="000000"/>
              <w:left w:val="single" w:sz="4" w:space="0" w:color="000000"/>
              <w:bottom w:val="single" w:sz="4" w:space="0" w:color="000000"/>
              <w:right w:val="single" w:sz="4" w:space="0" w:color="000000"/>
            </w:tcBorders>
            <w:vAlign w:val="center"/>
            <w:hideMark/>
          </w:tcPr>
          <w:p w14:paraId="528AD410" w14:textId="6C3C291B" w:rsidR="00060BB5" w:rsidRPr="00117C05" w:rsidRDefault="00F12CE6" w:rsidP="006D229C">
            <w:pPr>
              <w:snapToGrid w:val="0"/>
              <w:spacing w:before="120" w:after="120"/>
              <w:jc w:val="center"/>
              <w:rPr>
                <w:rFonts w:cs="Times New Roman"/>
                <w:b/>
              </w:rPr>
            </w:pPr>
            <w:r>
              <w:rPr>
                <w:rFonts w:cs="Times New Roman"/>
                <w:b/>
              </w:rPr>
              <w:t>410</w:t>
            </w:r>
          </w:p>
        </w:tc>
      </w:tr>
    </w:tbl>
    <w:p w14:paraId="10666989" w14:textId="4CC8608D" w:rsidR="00060BB5" w:rsidRPr="00117C05" w:rsidRDefault="00060BB5" w:rsidP="006D229C">
      <w:pPr>
        <w:tabs>
          <w:tab w:val="left" w:pos="567"/>
        </w:tabs>
        <w:spacing w:before="120" w:after="120"/>
        <w:jc w:val="both"/>
        <w:rPr>
          <w:rFonts w:cs="Times New Roman"/>
          <w:sz w:val="24"/>
          <w:szCs w:val="20"/>
          <w:lang w:eastAsia="ar-SA"/>
        </w:rPr>
      </w:pPr>
      <w:r w:rsidRPr="00117C05">
        <w:rPr>
          <w:rFonts w:cs="Times New Roman"/>
          <w:sz w:val="24"/>
        </w:rPr>
        <w:t>Hooldustasu summa võib muutuda sõltuvalt Tellija kasutuses oleva hooldusobjektide konfiguratsiooni muutustest.</w:t>
      </w:r>
      <w:r w:rsidR="006D229C" w:rsidRPr="00117C05">
        <w:rPr>
          <w:rFonts w:cs="Times New Roman"/>
          <w:sz w:val="24"/>
          <w:szCs w:val="20"/>
          <w:lang w:eastAsia="ar-SA"/>
        </w:rPr>
        <w:t xml:space="preserve"> </w:t>
      </w:r>
      <w:r w:rsidR="006D229C" w:rsidRPr="00117C05">
        <w:rPr>
          <w:rFonts w:cs="Times New Roman"/>
          <w:sz w:val="24"/>
        </w:rPr>
        <w:t xml:space="preserve">Viidatud hinnad ei sisalda käibemaksu. </w:t>
      </w:r>
    </w:p>
    <w:p w14:paraId="3B8A663D" w14:textId="4D965974" w:rsidR="009F2962" w:rsidRPr="00117C05" w:rsidRDefault="009F2962" w:rsidP="006D229C">
      <w:pPr>
        <w:pStyle w:val="SLONormal"/>
        <w:rPr>
          <w:lang w:val="et-E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70F0" w:rsidRPr="00790ED6" w14:paraId="5F71C784" w14:textId="77777777" w:rsidTr="00922203">
        <w:tc>
          <w:tcPr>
            <w:tcW w:w="4531" w:type="dxa"/>
          </w:tcPr>
          <w:p w14:paraId="4D2AADD4" w14:textId="7376ECA9" w:rsidR="000070F0" w:rsidRPr="00117C05" w:rsidRDefault="00C530DD" w:rsidP="00922203">
            <w:pPr>
              <w:spacing w:before="120" w:after="120"/>
              <w:jc w:val="both"/>
              <w:rPr>
                <w:rFonts w:eastAsia="Times New Roman" w:cs="Times New Roman"/>
                <w:sz w:val="24"/>
                <w:szCs w:val="24"/>
              </w:rPr>
            </w:pPr>
            <w:r>
              <w:rPr>
                <w:rFonts w:eastAsia="Times New Roman" w:cs="Times New Roman"/>
                <w:sz w:val="24"/>
                <w:szCs w:val="24"/>
              </w:rPr>
              <w:t>BMG Energy</w:t>
            </w:r>
            <w:r w:rsidR="008B76B7">
              <w:rPr>
                <w:rFonts w:eastAsia="Times New Roman" w:cs="Times New Roman"/>
                <w:sz w:val="24"/>
                <w:szCs w:val="24"/>
              </w:rPr>
              <w:t xml:space="preserve"> OÜ</w:t>
            </w:r>
            <w:r w:rsidR="000070F0" w:rsidRPr="00117C05">
              <w:rPr>
                <w:rFonts w:eastAsia="Times New Roman" w:cs="Times New Roman"/>
                <w:sz w:val="24"/>
                <w:szCs w:val="24"/>
              </w:rPr>
              <w:t xml:space="preserve"> nimel</w:t>
            </w:r>
          </w:p>
          <w:p w14:paraId="795B8291" w14:textId="355F4A52" w:rsidR="000070F0" w:rsidRPr="00117C05" w:rsidRDefault="00882492" w:rsidP="00922203">
            <w:pPr>
              <w:spacing w:before="120" w:after="120"/>
              <w:jc w:val="both"/>
              <w:rPr>
                <w:rFonts w:eastAsia="Times New Roman" w:cs="Times New Roman"/>
                <w:sz w:val="24"/>
                <w:szCs w:val="24"/>
              </w:rPr>
            </w:pPr>
            <w:r>
              <w:rPr>
                <w:rFonts w:eastAsia="Times New Roman" w:cs="Times New Roman"/>
                <w:sz w:val="24"/>
                <w:szCs w:val="24"/>
              </w:rPr>
              <w:t>Kalmer Kroonberg</w:t>
            </w:r>
          </w:p>
          <w:p w14:paraId="46ACEBBD" w14:textId="77777777" w:rsidR="000070F0" w:rsidRPr="00117C05" w:rsidRDefault="000070F0" w:rsidP="00922203">
            <w:pPr>
              <w:spacing w:before="120" w:after="120"/>
              <w:jc w:val="both"/>
              <w:rPr>
                <w:rFonts w:eastAsia="Times New Roman" w:cs="Times New Roman"/>
                <w:sz w:val="24"/>
                <w:szCs w:val="24"/>
              </w:rPr>
            </w:pPr>
          </w:p>
          <w:p w14:paraId="7D5ED07C" w14:textId="77777777" w:rsidR="00C912B1" w:rsidRPr="007B760F" w:rsidRDefault="00C912B1" w:rsidP="00C912B1">
            <w:pPr>
              <w:spacing w:before="120" w:after="120"/>
              <w:jc w:val="both"/>
              <w:rPr>
                <w:rFonts w:eastAsia="Times New Roman" w:cs="Times New Roman"/>
                <w:i/>
                <w:iCs/>
                <w:sz w:val="24"/>
                <w:szCs w:val="24"/>
              </w:rPr>
            </w:pPr>
            <w:r>
              <w:rPr>
                <w:rFonts w:eastAsia="Times New Roman" w:cs="Times New Roman"/>
                <w:i/>
                <w:iCs/>
                <w:sz w:val="24"/>
                <w:szCs w:val="24"/>
              </w:rPr>
              <w:t>/Allkirjastatud digitaalselt/</w:t>
            </w:r>
          </w:p>
          <w:p w14:paraId="0FBE57BF" w14:textId="0275D451" w:rsidR="000070F0" w:rsidRPr="00117C05" w:rsidRDefault="000070F0" w:rsidP="00922203">
            <w:pPr>
              <w:spacing w:before="120" w:after="120"/>
              <w:jc w:val="both"/>
              <w:rPr>
                <w:rFonts w:eastAsia="Times New Roman" w:cs="Times New Roman"/>
                <w:sz w:val="24"/>
                <w:szCs w:val="24"/>
              </w:rPr>
            </w:pPr>
          </w:p>
        </w:tc>
        <w:tc>
          <w:tcPr>
            <w:tcW w:w="4531" w:type="dxa"/>
          </w:tcPr>
          <w:p w14:paraId="4518EAC6" w14:textId="77777777" w:rsidR="00B35E7B" w:rsidRPr="00B35E7B" w:rsidRDefault="00B35E7B" w:rsidP="00B35E7B">
            <w:pPr>
              <w:spacing w:before="120" w:after="120"/>
              <w:jc w:val="both"/>
              <w:rPr>
                <w:rFonts w:eastAsia="Times New Roman" w:cs="Times New Roman"/>
                <w:sz w:val="24"/>
                <w:szCs w:val="24"/>
              </w:rPr>
            </w:pPr>
            <w:r w:rsidRPr="00B35E7B">
              <w:rPr>
                <w:rFonts w:eastAsia="Times New Roman" w:cs="Times New Roman"/>
                <w:sz w:val="24"/>
                <w:szCs w:val="24"/>
              </w:rPr>
              <w:t>Tarbijakaitse ja Tehnilise Järelevalve Amet</w:t>
            </w:r>
          </w:p>
          <w:p w14:paraId="69546E93" w14:textId="2D2A8A90" w:rsidR="000070F0" w:rsidRPr="00117C05" w:rsidRDefault="00C017EE" w:rsidP="00922203">
            <w:pPr>
              <w:spacing w:before="120" w:after="120"/>
              <w:jc w:val="both"/>
              <w:rPr>
                <w:rFonts w:eastAsia="Times New Roman" w:cs="Times New Roman"/>
                <w:sz w:val="24"/>
                <w:szCs w:val="24"/>
              </w:rPr>
            </w:pPr>
            <w:r>
              <w:rPr>
                <w:rFonts w:eastAsia="Times New Roman" w:cs="Times New Roman"/>
                <w:sz w:val="24"/>
                <w:szCs w:val="24"/>
              </w:rPr>
              <w:t xml:space="preserve">Kristi </w:t>
            </w:r>
            <w:r w:rsidR="006E6871">
              <w:rPr>
                <w:rFonts w:eastAsia="Times New Roman" w:cs="Times New Roman"/>
                <w:sz w:val="24"/>
                <w:szCs w:val="24"/>
              </w:rPr>
              <w:t>T</w:t>
            </w:r>
            <w:r>
              <w:rPr>
                <w:rFonts w:eastAsia="Times New Roman" w:cs="Times New Roman"/>
                <w:sz w:val="24"/>
                <w:szCs w:val="24"/>
              </w:rPr>
              <w:t>alving</w:t>
            </w:r>
          </w:p>
          <w:p w14:paraId="6722DA16" w14:textId="632C939D" w:rsidR="000070F0" w:rsidRPr="00117C05" w:rsidRDefault="004A25E9" w:rsidP="008C6A9A">
            <w:pPr>
              <w:spacing w:before="120" w:after="120"/>
              <w:jc w:val="both"/>
              <w:rPr>
                <w:rFonts w:eastAsia="Times New Roman" w:cs="Times New Roman"/>
                <w:sz w:val="24"/>
                <w:szCs w:val="24"/>
              </w:rPr>
            </w:pPr>
            <w:r>
              <w:rPr>
                <w:rFonts w:eastAsia="Times New Roman" w:cs="Times New Roman"/>
                <w:sz w:val="24"/>
                <w:szCs w:val="24"/>
              </w:rPr>
              <w:t>peadirektor</w:t>
            </w:r>
          </w:p>
          <w:p w14:paraId="34CE0A66" w14:textId="3B7FDCF7" w:rsidR="000070F0" w:rsidRPr="00790ED6" w:rsidRDefault="00C912B1" w:rsidP="00CF1952">
            <w:pPr>
              <w:spacing w:before="120" w:after="120"/>
              <w:jc w:val="both"/>
              <w:rPr>
                <w:rFonts w:eastAsia="Times New Roman" w:cs="Times New Roman"/>
                <w:sz w:val="24"/>
                <w:szCs w:val="24"/>
              </w:rPr>
            </w:pPr>
            <w:r>
              <w:rPr>
                <w:rFonts w:eastAsia="Times New Roman" w:cs="Times New Roman"/>
                <w:i/>
                <w:iCs/>
                <w:sz w:val="24"/>
                <w:szCs w:val="24"/>
              </w:rPr>
              <w:t>/Allkirjastatud digitaalselt/</w:t>
            </w:r>
          </w:p>
        </w:tc>
      </w:tr>
    </w:tbl>
    <w:p w14:paraId="418BA292" w14:textId="7B109F7B" w:rsidR="000070F0" w:rsidRPr="00B62708" w:rsidRDefault="000070F0" w:rsidP="00CF1952">
      <w:pPr>
        <w:spacing w:after="160" w:line="259" w:lineRule="auto"/>
        <w:rPr>
          <w:rFonts w:eastAsia="Times New Roman" w:cs="Times New Roman"/>
          <w:sz w:val="2"/>
          <w:szCs w:val="2"/>
        </w:rPr>
      </w:pPr>
    </w:p>
    <w:sectPr w:rsidR="000070F0" w:rsidRPr="00B627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C8E1" w14:textId="77777777" w:rsidR="001525B7" w:rsidRDefault="001525B7" w:rsidP="009F2962">
      <w:r>
        <w:separator/>
      </w:r>
    </w:p>
  </w:endnote>
  <w:endnote w:type="continuationSeparator" w:id="0">
    <w:p w14:paraId="2728703B" w14:textId="77777777" w:rsidR="001525B7" w:rsidRDefault="001525B7" w:rsidP="009F2962">
      <w:r>
        <w:continuationSeparator/>
      </w:r>
    </w:p>
  </w:endnote>
  <w:endnote w:type="continuationNotice" w:id="1">
    <w:p w14:paraId="5086D071" w14:textId="77777777" w:rsidR="001525B7" w:rsidRDefault="00152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353113"/>
      <w:docPartObj>
        <w:docPartGallery w:val="Page Numbers (Bottom of Page)"/>
        <w:docPartUnique/>
      </w:docPartObj>
    </w:sdtPr>
    <w:sdtEndPr/>
    <w:sdtContent>
      <w:sdt>
        <w:sdtPr>
          <w:id w:val="1728636285"/>
          <w:docPartObj>
            <w:docPartGallery w:val="Page Numbers (Top of Page)"/>
            <w:docPartUnique/>
          </w:docPartObj>
        </w:sdtPr>
        <w:sdtEndPr/>
        <w:sdtContent>
          <w:p w14:paraId="38E59646" w14:textId="6E62EEF0" w:rsidR="009F2962" w:rsidRDefault="009F2962">
            <w:pPr>
              <w:pStyle w:val="Footer"/>
              <w:jc w:val="center"/>
            </w:pPr>
            <w:r>
              <w:rPr>
                <w:lang w:val="et-EE"/>
              </w:rPr>
              <w:t xml:space="preserve"> </w:t>
            </w:r>
            <w:r>
              <w:rPr>
                <w:b/>
                <w:bCs/>
                <w:sz w:val="24"/>
              </w:rPr>
              <w:fldChar w:fldCharType="begin"/>
            </w:r>
            <w:r>
              <w:rPr>
                <w:b/>
                <w:bCs/>
              </w:rPr>
              <w:instrText>PAGE</w:instrText>
            </w:r>
            <w:r>
              <w:rPr>
                <w:b/>
                <w:bCs/>
                <w:sz w:val="24"/>
              </w:rPr>
              <w:fldChar w:fldCharType="separate"/>
            </w:r>
            <w:r>
              <w:rPr>
                <w:b/>
                <w:bCs/>
                <w:lang w:val="et-EE"/>
              </w:rPr>
              <w:t>2</w:t>
            </w:r>
            <w:r>
              <w:rPr>
                <w:b/>
                <w:bCs/>
                <w:sz w:val="24"/>
              </w:rPr>
              <w:fldChar w:fldCharType="end"/>
            </w:r>
            <w:r>
              <w:rPr>
                <w:lang w:val="et-EE"/>
              </w:rPr>
              <w:t xml:space="preserve"> / </w:t>
            </w:r>
            <w:r>
              <w:rPr>
                <w:b/>
                <w:bCs/>
                <w:sz w:val="24"/>
              </w:rPr>
              <w:fldChar w:fldCharType="begin"/>
            </w:r>
            <w:r>
              <w:rPr>
                <w:b/>
                <w:bCs/>
              </w:rPr>
              <w:instrText>NUMPAGES</w:instrText>
            </w:r>
            <w:r>
              <w:rPr>
                <w:b/>
                <w:bCs/>
                <w:sz w:val="24"/>
              </w:rPr>
              <w:fldChar w:fldCharType="separate"/>
            </w:r>
            <w:r>
              <w:rPr>
                <w:b/>
                <w:bCs/>
                <w:lang w:val="et-EE"/>
              </w:rPr>
              <w:t>2</w:t>
            </w:r>
            <w:r>
              <w:rPr>
                <w:b/>
                <w:bCs/>
                <w:sz w:val="24"/>
              </w:rPr>
              <w:fldChar w:fldCharType="end"/>
            </w:r>
          </w:p>
        </w:sdtContent>
      </w:sdt>
    </w:sdtContent>
  </w:sdt>
  <w:p w14:paraId="51B22D0C" w14:textId="77777777" w:rsidR="009F2962" w:rsidRDefault="009F2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E1A7" w14:textId="77777777" w:rsidR="001525B7" w:rsidRDefault="001525B7" w:rsidP="009F2962">
      <w:r>
        <w:separator/>
      </w:r>
    </w:p>
  </w:footnote>
  <w:footnote w:type="continuationSeparator" w:id="0">
    <w:p w14:paraId="5C508DB6" w14:textId="77777777" w:rsidR="001525B7" w:rsidRDefault="001525B7" w:rsidP="009F2962">
      <w:r>
        <w:continuationSeparator/>
      </w:r>
    </w:p>
  </w:footnote>
  <w:footnote w:type="continuationNotice" w:id="1">
    <w:p w14:paraId="134C2577" w14:textId="77777777" w:rsidR="001525B7" w:rsidRDefault="00152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2"/>
      <w:numFmt w:val="decimal"/>
      <w:lvlText w:val="%1.%2"/>
      <w:lvlJc w:val="left"/>
      <w:pPr>
        <w:tabs>
          <w:tab w:val="num" w:pos="714"/>
        </w:tabs>
        <w:ind w:left="714"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00000005"/>
    <w:multiLevelType w:val="multilevel"/>
    <w:tmpl w:val="00000005"/>
    <w:name w:val="WW8Num5"/>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D523760"/>
    <w:multiLevelType w:val="multilevel"/>
    <w:tmpl w:val="0E6A53BE"/>
    <w:numStyleLink w:val="SORLDDHeadings"/>
  </w:abstractNum>
  <w:abstractNum w:abstractNumId="19"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2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3DD0702"/>
    <w:multiLevelType w:val="multilevel"/>
    <w:tmpl w:val="1FD0AE4A"/>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B25C44"/>
    <w:multiLevelType w:val="multilevel"/>
    <w:tmpl w:val="1FB249DA"/>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2019231184">
    <w:abstractNumId w:val="17"/>
  </w:num>
  <w:num w:numId="2" w16cid:durableId="1987202478">
    <w:abstractNumId w:val="13"/>
  </w:num>
  <w:num w:numId="3" w16cid:durableId="305739488">
    <w:abstractNumId w:val="23"/>
  </w:num>
  <w:num w:numId="4" w16cid:durableId="829753175">
    <w:abstractNumId w:val="28"/>
  </w:num>
  <w:num w:numId="5" w16cid:durableId="64377850">
    <w:abstractNumId w:val="19"/>
  </w:num>
  <w:num w:numId="6" w16cid:durableId="402800477">
    <w:abstractNumId w:val="26"/>
  </w:num>
  <w:num w:numId="7" w16cid:durableId="216670566">
    <w:abstractNumId w:val="18"/>
  </w:num>
  <w:num w:numId="8" w16cid:durableId="6908346">
    <w:abstractNumId w:val="25"/>
  </w:num>
  <w:num w:numId="9" w16cid:durableId="415901725">
    <w:abstractNumId w:val="29"/>
  </w:num>
  <w:num w:numId="10" w16cid:durableId="229384779">
    <w:abstractNumId w:val="30"/>
  </w:num>
  <w:num w:numId="11" w16cid:durableId="55125592">
    <w:abstractNumId w:val="26"/>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2" w16cid:durableId="607204289">
    <w:abstractNumId w:val="20"/>
  </w:num>
  <w:num w:numId="13" w16cid:durableId="806438227">
    <w:abstractNumId w:val="27"/>
  </w:num>
  <w:num w:numId="14" w16cid:durableId="639724375">
    <w:abstractNumId w:val="22"/>
  </w:num>
  <w:num w:numId="15" w16cid:durableId="1493793176">
    <w:abstractNumId w:val="15"/>
  </w:num>
  <w:num w:numId="16" w16cid:durableId="1152718728">
    <w:abstractNumId w:val="16"/>
  </w:num>
  <w:num w:numId="17" w16cid:durableId="1519345142">
    <w:abstractNumId w:val="24"/>
  </w:num>
  <w:num w:numId="18" w16cid:durableId="1888644713">
    <w:abstractNumId w:val="9"/>
  </w:num>
  <w:num w:numId="19" w16cid:durableId="1086271788">
    <w:abstractNumId w:val="7"/>
  </w:num>
  <w:num w:numId="20" w16cid:durableId="1676112352">
    <w:abstractNumId w:val="6"/>
  </w:num>
  <w:num w:numId="21" w16cid:durableId="1590846459">
    <w:abstractNumId w:val="5"/>
  </w:num>
  <w:num w:numId="22" w16cid:durableId="738601255">
    <w:abstractNumId w:val="4"/>
  </w:num>
  <w:num w:numId="23" w16cid:durableId="1913462615">
    <w:abstractNumId w:val="8"/>
  </w:num>
  <w:num w:numId="24" w16cid:durableId="1161123141">
    <w:abstractNumId w:val="3"/>
  </w:num>
  <w:num w:numId="25" w16cid:durableId="242372963">
    <w:abstractNumId w:val="2"/>
  </w:num>
  <w:num w:numId="26" w16cid:durableId="884754426">
    <w:abstractNumId w:val="1"/>
  </w:num>
  <w:num w:numId="27" w16cid:durableId="1633948781">
    <w:abstractNumId w:val="0"/>
  </w:num>
  <w:num w:numId="28" w16cid:durableId="659505524">
    <w:abstractNumId w:val="26"/>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9" w16cid:durableId="2095323065">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93835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1737785">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8112627">
    <w:abstractNumId w:val="26"/>
    <w:lvlOverride w:ilvl="0">
      <w:startOverride w:val="1"/>
      <w:lvl w:ilvl="0">
        <w:start w:val="1"/>
        <w:numFmt w:val="decimal"/>
        <w:lvlRestart w:val="0"/>
        <w:pStyle w:val="1stlevelheading"/>
        <w:lvlText w:val="%1."/>
        <w:lvlJc w:val="left"/>
        <w:pPr>
          <w:tabs>
            <w:tab w:val="num" w:pos="964"/>
          </w:tabs>
          <w:ind w:left="964" w:hanging="964"/>
        </w:pPr>
        <w:rPr>
          <w:rFonts w:hint="default"/>
        </w:rPr>
      </w:lvl>
    </w:lvlOverride>
    <w:lvlOverride w:ilvl="1">
      <w:startOverride w:val="1"/>
      <w:lvl w:ilvl="1">
        <w:start w:val="1"/>
        <w:numFmt w:val="decimal"/>
        <w:pStyle w:val="2ndlevelheading"/>
        <w:lvlText w:val="%1.%2."/>
        <w:lvlJc w:val="left"/>
        <w:pPr>
          <w:tabs>
            <w:tab w:val="num" w:pos="964"/>
          </w:tabs>
          <w:ind w:left="964" w:hanging="964"/>
        </w:pPr>
        <w:rPr>
          <w:rFonts w:hint="default"/>
        </w:rPr>
      </w:lvl>
    </w:lvlOverride>
    <w:lvlOverride w:ilvl="2">
      <w:startOverride w:val="1"/>
      <w:lvl w:ilvl="2">
        <w:start w:val="1"/>
        <w:numFmt w:val="decimal"/>
        <w:pStyle w:val="3rdlevelheading"/>
        <w:lvlText w:val="%1.%2.%3."/>
        <w:lvlJc w:val="left"/>
        <w:pPr>
          <w:tabs>
            <w:tab w:val="num" w:pos="964"/>
          </w:tabs>
          <w:ind w:left="964" w:hanging="964"/>
        </w:pPr>
        <w:rPr>
          <w:rFonts w:hint="default"/>
        </w:rPr>
      </w:lvl>
    </w:lvlOverride>
    <w:lvlOverride w:ilvl="3">
      <w:startOverride w:val="1"/>
      <w:lvl w:ilvl="3">
        <w:start w:val="1"/>
        <w:numFmt w:val="lowerLetter"/>
        <w:pStyle w:val="4thlevelheading"/>
        <w:lvlText w:val="(%4)"/>
        <w:lvlJc w:val="left"/>
        <w:pPr>
          <w:tabs>
            <w:tab w:val="num" w:pos="1928"/>
          </w:tabs>
          <w:ind w:left="1928" w:hanging="851"/>
        </w:pPr>
        <w:rPr>
          <w:rFonts w:hint="default"/>
        </w:rPr>
      </w:lvl>
    </w:lvlOverride>
    <w:lvlOverride w:ilvl="4">
      <w:startOverride w:val="1"/>
      <w:lvl w:ilvl="4">
        <w:start w:val="1"/>
        <w:numFmt w:val="lowerRoman"/>
        <w:pStyle w:val="5thlevelheading"/>
        <w:lvlText w:val="(%5)"/>
        <w:lvlJc w:val="left"/>
        <w:pPr>
          <w:tabs>
            <w:tab w:val="num" w:pos="2835"/>
          </w:tabs>
          <w:ind w:left="2835" w:hanging="851"/>
        </w:pPr>
        <w:rPr>
          <w:rFonts w:hint="default"/>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33" w16cid:durableId="127397462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A"/>
    <w:rsid w:val="000070F0"/>
    <w:rsid w:val="00012165"/>
    <w:rsid w:val="00015C0A"/>
    <w:rsid w:val="00021E0E"/>
    <w:rsid w:val="000273FC"/>
    <w:rsid w:val="00034222"/>
    <w:rsid w:val="00034239"/>
    <w:rsid w:val="000348BF"/>
    <w:rsid w:val="00057F6F"/>
    <w:rsid w:val="00060BB5"/>
    <w:rsid w:val="0006117E"/>
    <w:rsid w:val="00073A86"/>
    <w:rsid w:val="00073F63"/>
    <w:rsid w:val="0007589B"/>
    <w:rsid w:val="00076C74"/>
    <w:rsid w:val="00080CC8"/>
    <w:rsid w:val="000866D8"/>
    <w:rsid w:val="00093585"/>
    <w:rsid w:val="000956FD"/>
    <w:rsid w:val="000B172C"/>
    <w:rsid w:val="000C10EF"/>
    <w:rsid w:val="000C398E"/>
    <w:rsid w:val="000C3B5E"/>
    <w:rsid w:val="000C3C0D"/>
    <w:rsid w:val="000C444F"/>
    <w:rsid w:val="000C5ED2"/>
    <w:rsid w:val="000C7863"/>
    <w:rsid w:val="000D424D"/>
    <w:rsid w:val="000D7A57"/>
    <w:rsid w:val="00100EF6"/>
    <w:rsid w:val="00104925"/>
    <w:rsid w:val="00105D62"/>
    <w:rsid w:val="0011085A"/>
    <w:rsid w:val="001122C0"/>
    <w:rsid w:val="00114A49"/>
    <w:rsid w:val="0011769E"/>
    <w:rsid w:val="00117C05"/>
    <w:rsid w:val="001214D1"/>
    <w:rsid w:val="001247CA"/>
    <w:rsid w:val="0013376D"/>
    <w:rsid w:val="001354F0"/>
    <w:rsid w:val="00136D2A"/>
    <w:rsid w:val="00136D95"/>
    <w:rsid w:val="001446A8"/>
    <w:rsid w:val="001525B7"/>
    <w:rsid w:val="001554F5"/>
    <w:rsid w:val="00162B16"/>
    <w:rsid w:val="00176069"/>
    <w:rsid w:val="0017788D"/>
    <w:rsid w:val="001865CD"/>
    <w:rsid w:val="00197010"/>
    <w:rsid w:val="001C72A4"/>
    <w:rsid w:val="001E5029"/>
    <w:rsid w:val="001E6A13"/>
    <w:rsid w:val="001F4416"/>
    <w:rsid w:val="001F7B16"/>
    <w:rsid w:val="002145B2"/>
    <w:rsid w:val="00217AF1"/>
    <w:rsid w:val="00224063"/>
    <w:rsid w:val="00226A91"/>
    <w:rsid w:val="00227351"/>
    <w:rsid w:val="00231587"/>
    <w:rsid w:val="00232A0C"/>
    <w:rsid w:val="00233429"/>
    <w:rsid w:val="00236C3D"/>
    <w:rsid w:val="00236E37"/>
    <w:rsid w:val="00240CE1"/>
    <w:rsid w:val="0024260A"/>
    <w:rsid w:val="0024358F"/>
    <w:rsid w:val="002467A1"/>
    <w:rsid w:val="002508AA"/>
    <w:rsid w:val="00252E4E"/>
    <w:rsid w:val="002532C8"/>
    <w:rsid w:val="00266C79"/>
    <w:rsid w:val="00267EA7"/>
    <w:rsid w:val="00271E0E"/>
    <w:rsid w:val="00277396"/>
    <w:rsid w:val="00287B08"/>
    <w:rsid w:val="00290BD7"/>
    <w:rsid w:val="00291BB9"/>
    <w:rsid w:val="0029781A"/>
    <w:rsid w:val="002A7906"/>
    <w:rsid w:val="002B048C"/>
    <w:rsid w:val="002B4BD0"/>
    <w:rsid w:val="002C3D60"/>
    <w:rsid w:val="002C42B2"/>
    <w:rsid w:val="002C54CC"/>
    <w:rsid w:val="002E2667"/>
    <w:rsid w:val="002E306E"/>
    <w:rsid w:val="002E3BD7"/>
    <w:rsid w:val="002E4B5E"/>
    <w:rsid w:val="002E6DFA"/>
    <w:rsid w:val="002F576A"/>
    <w:rsid w:val="00302579"/>
    <w:rsid w:val="00305F2E"/>
    <w:rsid w:val="003119F7"/>
    <w:rsid w:val="00313029"/>
    <w:rsid w:val="00320B75"/>
    <w:rsid w:val="003245A2"/>
    <w:rsid w:val="00332514"/>
    <w:rsid w:val="00335F04"/>
    <w:rsid w:val="00341835"/>
    <w:rsid w:val="00343357"/>
    <w:rsid w:val="0035061A"/>
    <w:rsid w:val="00353E24"/>
    <w:rsid w:val="00360EE3"/>
    <w:rsid w:val="00363D38"/>
    <w:rsid w:val="00364D59"/>
    <w:rsid w:val="00365C76"/>
    <w:rsid w:val="00365DE6"/>
    <w:rsid w:val="00367E02"/>
    <w:rsid w:val="00371051"/>
    <w:rsid w:val="00375F46"/>
    <w:rsid w:val="00393AC6"/>
    <w:rsid w:val="00396CCC"/>
    <w:rsid w:val="003A5D19"/>
    <w:rsid w:val="003A74BE"/>
    <w:rsid w:val="003B3902"/>
    <w:rsid w:val="003B600F"/>
    <w:rsid w:val="003B6596"/>
    <w:rsid w:val="003D51CF"/>
    <w:rsid w:val="003D64AC"/>
    <w:rsid w:val="003E2BEB"/>
    <w:rsid w:val="003F0073"/>
    <w:rsid w:val="003F103D"/>
    <w:rsid w:val="003F440F"/>
    <w:rsid w:val="004026DB"/>
    <w:rsid w:val="00406F4F"/>
    <w:rsid w:val="0041000B"/>
    <w:rsid w:val="00431452"/>
    <w:rsid w:val="00437FF0"/>
    <w:rsid w:val="004406DD"/>
    <w:rsid w:val="004420CA"/>
    <w:rsid w:val="00452681"/>
    <w:rsid w:val="004572AA"/>
    <w:rsid w:val="00462F8B"/>
    <w:rsid w:val="00466F54"/>
    <w:rsid w:val="00467634"/>
    <w:rsid w:val="00471066"/>
    <w:rsid w:val="00477A2D"/>
    <w:rsid w:val="00482863"/>
    <w:rsid w:val="0049008A"/>
    <w:rsid w:val="004937C9"/>
    <w:rsid w:val="004A253C"/>
    <w:rsid w:val="004A25E9"/>
    <w:rsid w:val="004A3506"/>
    <w:rsid w:val="004A48F1"/>
    <w:rsid w:val="004A6D84"/>
    <w:rsid w:val="004B0120"/>
    <w:rsid w:val="004B1095"/>
    <w:rsid w:val="004B27F2"/>
    <w:rsid w:val="004B2E77"/>
    <w:rsid w:val="004C2631"/>
    <w:rsid w:val="004C44B3"/>
    <w:rsid w:val="004C4541"/>
    <w:rsid w:val="004D3469"/>
    <w:rsid w:val="004E1EEE"/>
    <w:rsid w:val="004E5CF0"/>
    <w:rsid w:val="004E5DFB"/>
    <w:rsid w:val="004F59AA"/>
    <w:rsid w:val="0050591C"/>
    <w:rsid w:val="0051265F"/>
    <w:rsid w:val="00531D94"/>
    <w:rsid w:val="00536AAE"/>
    <w:rsid w:val="00536E79"/>
    <w:rsid w:val="005401CF"/>
    <w:rsid w:val="005456D4"/>
    <w:rsid w:val="00552244"/>
    <w:rsid w:val="00552290"/>
    <w:rsid w:val="005538D3"/>
    <w:rsid w:val="005562C0"/>
    <w:rsid w:val="00563C77"/>
    <w:rsid w:val="00576C3B"/>
    <w:rsid w:val="005A5305"/>
    <w:rsid w:val="005A79EE"/>
    <w:rsid w:val="005B040D"/>
    <w:rsid w:val="005C2AA7"/>
    <w:rsid w:val="005C6BA1"/>
    <w:rsid w:val="005D3371"/>
    <w:rsid w:val="005D7258"/>
    <w:rsid w:val="005E0514"/>
    <w:rsid w:val="005E16D2"/>
    <w:rsid w:val="005E741C"/>
    <w:rsid w:val="00601CA9"/>
    <w:rsid w:val="0060270A"/>
    <w:rsid w:val="0060396C"/>
    <w:rsid w:val="006136A1"/>
    <w:rsid w:val="00615100"/>
    <w:rsid w:val="006250EE"/>
    <w:rsid w:val="006305CA"/>
    <w:rsid w:val="00630B46"/>
    <w:rsid w:val="00652282"/>
    <w:rsid w:val="0065470C"/>
    <w:rsid w:val="00655F9F"/>
    <w:rsid w:val="00656373"/>
    <w:rsid w:val="00664765"/>
    <w:rsid w:val="0067660D"/>
    <w:rsid w:val="006848A1"/>
    <w:rsid w:val="00690473"/>
    <w:rsid w:val="00696737"/>
    <w:rsid w:val="006A5124"/>
    <w:rsid w:val="006B0DEB"/>
    <w:rsid w:val="006B1694"/>
    <w:rsid w:val="006B5B76"/>
    <w:rsid w:val="006B641C"/>
    <w:rsid w:val="006B7146"/>
    <w:rsid w:val="006D229C"/>
    <w:rsid w:val="006D2C4E"/>
    <w:rsid w:val="006E3CF2"/>
    <w:rsid w:val="006E66E0"/>
    <w:rsid w:val="006E6871"/>
    <w:rsid w:val="006E68F5"/>
    <w:rsid w:val="006F2473"/>
    <w:rsid w:val="006F4A8B"/>
    <w:rsid w:val="006F7E02"/>
    <w:rsid w:val="00701C04"/>
    <w:rsid w:val="007028AD"/>
    <w:rsid w:val="00706C1D"/>
    <w:rsid w:val="00710B9E"/>
    <w:rsid w:val="00711218"/>
    <w:rsid w:val="00713D96"/>
    <w:rsid w:val="0071637C"/>
    <w:rsid w:val="007212C4"/>
    <w:rsid w:val="00723231"/>
    <w:rsid w:val="00733918"/>
    <w:rsid w:val="00734C4C"/>
    <w:rsid w:val="00741C0D"/>
    <w:rsid w:val="0074616E"/>
    <w:rsid w:val="00765897"/>
    <w:rsid w:val="00782F92"/>
    <w:rsid w:val="00784B1E"/>
    <w:rsid w:val="00786CD9"/>
    <w:rsid w:val="00790869"/>
    <w:rsid w:val="00790ED6"/>
    <w:rsid w:val="00795EDD"/>
    <w:rsid w:val="007A2A0B"/>
    <w:rsid w:val="007A6240"/>
    <w:rsid w:val="007B47CD"/>
    <w:rsid w:val="007B51DE"/>
    <w:rsid w:val="007C3032"/>
    <w:rsid w:val="007C74CC"/>
    <w:rsid w:val="007D1112"/>
    <w:rsid w:val="007D493E"/>
    <w:rsid w:val="007D6B74"/>
    <w:rsid w:val="007E00CB"/>
    <w:rsid w:val="007E12BF"/>
    <w:rsid w:val="007E5FA9"/>
    <w:rsid w:val="007F0EA6"/>
    <w:rsid w:val="007F1E8F"/>
    <w:rsid w:val="007F4611"/>
    <w:rsid w:val="00802969"/>
    <w:rsid w:val="00803A49"/>
    <w:rsid w:val="0080446E"/>
    <w:rsid w:val="008121DA"/>
    <w:rsid w:val="00815F6E"/>
    <w:rsid w:val="00831207"/>
    <w:rsid w:val="00854079"/>
    <w:rsid w:val="008547F9"/>
    <w:rsid w:val="00862B2D"/>
    <w:rsid w:val="0086661B"/>
    <w:rsid w:val="00871EFC"/>
    <w:rsid w:val="00877DE7"/>
    <w:rsid w:val="0088247B"/>
    <w:rsid w:val="00882492"/>
    <w:rsid w:val="00886CA4"/>
    <w:rsid w:val="008911BA"/>
    <w:rsid w:val="00893060"/>
    <w:rsid w:val="00896AE5"/>
    <w:rsid w:val="008A4796"/>
    <w:rsid w:val="008B18A8"/>
    <w:rsid w:val="008B3FC4"/>
    <w:rsid w:val="008B4F65"/>
    <w:rsid w:val="008B6277"/>
    <w:rsid w:val="008B76B7"/>
    <w:rsid w:val="008C2FD8"/>
    <w:rsid w:val="008C3895"/>
    <w:rsid w:val="008C5974"/>
    <w:rsid w:val="008C6A9A"/>
    <w:rsid w:val="008D17B9"/>
    <w:rsid w:val="008D4604"/>
    <w:rsid w:val="008E2B2D"/>
    <w:rsid w:val="008E7152"/>
    <w:rsid w:val="008F5DEF"/>
    <w:rsid w:val="008F66E6"/>
    <w:rsid w:val="00904CDB"/>
    <w:rsid w:val="009056BC"/>
    <w:rsid w:val="00920158"/>
    <w:rsid w:val="0092659E"/>
    <w:rsid w:val="00930757"/>
    <w:rsid w:val="00931616"/>
    <w:rsid w:val="0093164B"/>
    <w:rsid w:val="009318D1"/>
    <w:rsid w:val="009358FB"/>
    <w:rsid w:val="00936D8B"/>
    <w:rsid w:val="00941CEF"/>
    <w:rsid w:val="00953743"/>
    <w:rsid w:val="009573AC"/>
    <w:rsid w:val="0096284A"/>
    <w:rsid w:val="00964890"/>
    <w:rsid w:val="009666EC"/>
    <w:rsid w:val="009676E3"/>
    <w:rsid w:val="00967BD1"/>
    <w:rsid w:val="00973385"/>
    <w:rsid w:val="00980962"/>
    <w:rsid w:val="00982B98"/>
    <w:rsid w:val="00982E3C"/>
    <w:rsid w:val="009919FF"/>
    <w:rsid w:val="00992110"/>
    <w:rsid w:val="0099313B"/>
    <w:rsid w:val="009A2AC0"/>
    <w:rsid w:val="009A2E7D"/>
    <w:rsid w:val="009A58A4"/>
    <w:rsid w:val="009A6010"/>
    <w:rsid w:val="009B147A"/>
    <w:rsid w:val="009B3A55"/>
    <w:rsid w:val="009B43A5"/>
    <w:rsid w:val="009B5241"/>
    <w:rsid w:val="009B780E"/>
    <w:rsid w:val="009D02BD"/>
    <w:rsid w:val="009D5579"/>
    <w:rsid w:val="009F2962"/>
    <w:rsid w:val="009F2C3C"/>
    <w:rsid w:val="009F6240"/>
    <w:rsid w:val="00A13886"/>
    <w:rsid w:val="00A16BBE"/>
    <w:rsid w:val="00A2136B"/>
    <w:rsid w:val="00A222D7"/>
    <w:rsid w:val="00A37C7F"/>
    <w:rsid w:val="00A41C76"/>
    <w:rsid w:val="00A44E3B"/>
    <w:rsid w:val="00A51CE1"/>
    <w:rsid w:val="00A5665D"/>
    <w:rsid w:val="00A57FE2"/>
    <w:rsid w:val="00A707DA"/>
    <w:rsid w:val="00A70C44"/>
    <w:rsid w:val="00A70EA1"/>
    <w:rsid w:val="00A80E9A"/>
    <w:rsid w:val="00A90DAD"/>
    <w:rsid w:val="00A92A76"/>
    <w:rsid w:val="00AA05D4"/>
    <w:rsid w:val="00AA3EFA"/>
    <w:rsid w:val="00AA4DF7"/>
    <w:rsid w:val="00AA50C7"/>
    <w:rsid w:val="00AC4916"/>
    <w:rsid w:val="00AC6D34"/>
    <w:rsid w:val="00AE1B74"/>
    <w:rsid w:val="00AE1BED"/>
    <w:rsid w:val="00AE5ED9"/>
    <w:rsid w:val="00AE7BD8"/>
    <w:rsid w:val="00AF19E7"/>
    <w:rsid w:val="00AF2D4E"/>
    <w:rsid w:val="00AF40FA"/>
    <w:rsid w:val="00AF5C48"/>
    <w:rsid w:val="00AF75D6"/>
    <w:rsid w:val="00B11DE9"/>
    <w:rsid w:val="00B20181"/>
    <w:rsid w:val="00B204BC"/>
    <w:rsid w:val="00B26842"/>
    <w:rsid w:val="00B33DB7"/>
    <w:rsid w:val="00B35E7B"/>
    <w:rsid w:val="00B51EA4"/>
    <w:rsid w:val="00B62708"/>
    <w:rsid w:val="00B634AB"/>
    <w:rsid w:val="00B707F4"/>
    <w:rsid w:val="00BB4A22"/>
    <w:rsid w:val="00BC3FBB"/>
    <w:rsid w:val="00BD3DAB"/>
    <w:rsid w:val="00BD3E6D"/>
    <w:rsid w:val="00BD5D36"/>
    <w:rsid w:val="00BD7DA0"/>
    <w:rsid w:val="00BE0B19"/>
    <w:rsid w:val="00BE48A2"/>
    <w:rsid w:val="00C017EE"/>
    <w:rsid w:val="00C01FA1"/>
    <w:rsid w:val="00C02E4B"/>
    <w:rsid w:val="00C04839"/>
    <w:rsid w:val="00C101F7"/>
    <w:rsid w:val="00C11848"/>
    <w:rsid w:val="00C14A16"/>
    <w:rsid w:val="00C21820"/>
    <w:rsid w:val="00C373BE"/>
    <w:rsid w:val="00C3770B"/>
    <w:rsid w:val="00C378E2"/>
    <w:rsid w:val="00C44023"/>
    <w:rsid w:val="00C530DD"/>
    <w:rsid w:val="00C54512"/>
    <w:rsid w:val="00C618E7"/>
    <w:rsid w:val="00C62DA3"/>
    <w:rsid w:val="00C64626"/>
    <w:rsid w:val="00C65E72"/>
    <w:rsid w:val="00C90DD8"/>
    <w:rsid w:val="00C912B1"/>
    <w:rsid w:val="00CA2D61"/>
    <w:rsid w:val="00CA7137"/>
    <w:rsid w:val="00CB10EE"/>
    <w:rsid w:val="00CB367A"/>
    <w:rsid w:val="00CB3DAB"/>
    <w:rsid w:val="00CB6E36"/>
    <w:rsid w:val="00CC12C6"/>
    <w:rsid w:val="00CC47AF"/>
    <w:rsid w:val="00CD0D33"/>
    <w:rsid w:val="00CF1952"/>
    <w:rsid w:val="00D136A1"/>
    <w:rsid w:val="00D21FDC"/>
    <w:rsid w:val="00D22039"/>
    <w:rsid w:val="00D242E7"/>
    <w:rsid w:val="00D31CD3"/>
    <w:rsid w:val="00D324E4"/>
    <w:rsid w:val="00D43C26"/>
    <w:rsid w:val="00D45040"/>
    <w:rsid w:val="00D50992"/>
    <w:rsid w:val="00D52515"/>
    <w:rsid w:val="00D601A0"/>
    <w:rsid w:val="00D64614"/>
    <w:rsid w:val="00D649DF"/>
    <w:rsid w:val="00D74BEB"/>
    <w:rsid w:val="00D83DB0"/>
    <w:rsid w:val="00D84892"/>
    <w:rsid w:val="00D84C0B"/>
    <w:rsid w:val="00D87920"/>
    <w:rsid w:val="00D93EE6"/>
    <w:rsid w:val="00D94647"/>
    <w:rsid w:val="00D96432"/>
    <w:rsid w:val="00D97C57"/>
    <w:rsid w:val="00DA3E20"/>
    <w:rsid w:val="00DA5172"/>
    <w:rsid w:val="00DA55FE"/>
    <w:rsid w:val="00DA6E1D"/>
    <w:rsid w:val="00DB748A"/>
    <w:rsid w:val="00DC2F2F"/>
    <w:rsid w:val="00DC4673"/>
    <w:rsid w:val="00DC68F6"/>
    <w:rsid w:val="00DD0EC5"/>
    <w:rsid w:val="00DD15EA"/>
    <w:rsid w:val="00DD3AAE"/>
    <w:rsid w:val="00DD789A"/>
    <w:rsid w:val="00DE2C0F"/>
    <w:rsid w:val="00DE3261"/>
    <w:rsid w:val="00DE346D"/>
    <w:rsid w:val="00DF0302"/>
    <w:rsid w:val="00E01C69"/>
    <w:rsid w:val="00E05F2C"/>
    <w:rsid w:val="00E06E86"/>
    <w:rsid w:val="00E11D94"/>
    <w:rsid w:val="00E152D9"/>
    <w:rsid w:val="00E2614D"/>
    <w:rsid w:val="00E349D9"/>
    <w:rsid w:val="00E460AE"/>
    <w:rsid w:val="00E47CB4"/>
    <w:rsid w:val="00E5126E"/>
    <w:rsid w:val="00E610AE"/>
    <w:rsid w:val="00E67209"/>
    <w:rsid w:val="00E70D6A"/>
    <w:rsid w:val="00E8252C"/>
    <w:rsid w:val="00E84D8A"/>
    <w:rsid w:val="00E86075"/>
    <w:rsid w:val="00E97A0B"/>
    <w:rsid w:val="00EA4F1D"/>
    <w:rsid w:val="00EA5220"/>
    <w:rsid w:val="00EB2462"/>
    <w:rsid w:val="00EC0A62"/>
    <w:rsid w:val="00EC2B96"/>
    <w:rsid w:val="00EC41FB"/>
    <w:rsid w:val="00EF633C"/>
    <w:rsid w:val="00F03E57"/>
    <w:rsid w:val="00F07518"/>
    <w:rsid w:val="00F12CE6"/>
    <w:rsid w:val="00F20C90"/>
    <w:rsid w:val="00F21256"/>
    <w:rsid w:val="00F238F2"/>
    <w:rsid w:val="00F23A3C"/>
    <w:rsid w:val="00F2510E"/>
    <w:rsid w:val="00F34B58"/>
    <w:rsid w:val="00F40DC3"/>
    <w:rsid w:val="00F42517"/>
    <w:rsid w:val="00F42A0F"/>
    <w:rsid w:val="00F532B9"/>
    <w:rsid w:val="00F64E15"/>
    <w:rsid w:val="00F917DD"/>
    <w:rsid w:val="00F91C63"/>
    <w:rsid w:val="00F967E0"/>
    <w:rsid w:val="00F97A26"/>
    <w:rsid w:val="00FA0958"/>
    <w:rsid w:val="00FC125E"/>
    <w:rsid w:val="00FC400E"/>
    <w:rsid w:val="00FC53A6"/>
    <w:rsid w:val="00FC68D5"/>
    <w:rsid w:val="00FD5CB1"/>
    <w:rsid w:val="00FD7AA6"/>
    <w:rsid w:val="00FE1561"/>
    <w:rsid w:val="00FE1DC9"/>
    <w:rsid w:val="00FE3B6B"/>
    <w:rsid w:val="00FF08DF"/>
    <w:rsid w:val="00FF46FC"/>
    <w:rsid w:val="00FF5FA7"/>
    <w:rsid w:val="00FF6976"/>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6BFE"/>
  <w15:chartTrackingRefBased/>
  <w15:docId w15:val="{B22B5E30-3AC2-4AA0-9C4B-69826FA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420C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link w:val="1stlevelheadingChar"/>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782F92"/>
    <w:pPr>
      <w:tabs>
        <w:tab w:val="clear" w:pos="964"/>
        <w:tab w:val="num" w:pos="567"/>
      </w:tabs>
      <w:spacing w:before="120" w:after="120"/>
      <w:ind w:left="567" w:hanging="567"/>
    </w:pPr>
    <w:rPr>
      <w:b w:val="0"/>
      <w:lang w:val="et-EE"/>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paragraph" w:customStyle="1" w:styleId="Style1">
    <w:name w:val="Style1"/>
    <w:basedOn w:val="2ndlevelprovision"/>
    <w:link w:val="Style1Char"/>
    <w:qFormat/>
    <w:rsid w:val="00790ED6"/>
    <w:pPr>
      <w:numPr>
        <w:ilvl w:val="0"/>
        <w:numId w:val="0"/>
      </w:numPr>
      <w:tabs>
        <w:tab w:val="num" w:pos="567"/>
      </w:tabs>
      <w:ind w:left="567" w:hanging="567"/>
    </w:pPr>
  </w:style>
  <w:style w:type="paragraph" w:customStyle="1" w:styleId="Style2">
    <w:name w:val="Style2"/>
    <w:basedOn w:val="3rdlevelheading"/>
    <w:qFormat/>
    <w:rsid w:val="00790ED6"/>
    <w:pPr>
      <w:numPr>
        <w:ilvl w:val="0"/>
        <w:numId w:val="0"/>
      </w:numPr>
      <w:tabs>
        <w:tab w:val="num" w:pos="964"/>
      </w:tabs>
      <w:ind w:left="964" w:hanging="964"/>
    </w:pPr>
    <w:rPr>
      <w:b w:val="0"/>
      <w:i w:val="0"/>
    </w:rPr>
  </w:style>
  <w:style w:type="table" w:styleId="TableGrid">
    <w:name w:val="Table Grid"/>
    <w:basedOn w:val="TableNormal"/>
    <w:uiPriority w:val="39"/>
    <w:rsid w:val="00790E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6240"/>
    <w:rPr>
      <w:sz w:val="16"/>
      <w:szCs w:val="16"/>
    </w:rPr>
  </w:style>
  <w:style w:type="paragraph" w:styleId="CommentText">
    <w:name w:val="annotation text"/>
    <w:basedOn w:val="Normal"/>
    <w:link w:val="CommentTextChar"/>
    <w:uiPriority w:val="99"/>
    <w:unhideWhenUsed/>
    <w:rsid w:val="009F6240"/>
    <w:rPr>
      <w:sz w:val="20"/>
      <w:szCs w:val="20"/>
    </w:rPr>
  </w:style>
  <w:style w:type="character" w:customStyle="1" w:styleId="CommentTextChar">
    <w:name w:val="Comment Text Char"/>
    <w:basedOn w:val="DefaultParagraphFont"/>
    <w:link w:val="CommentText"/>
    <w:uiPriority w:val="99"/>
    <w:rsid w:val="009F62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6240"/>
    <w:rPr>
      <w:b/>
      <w:bCs/>
    </w:rPr>
  </w:style>
  <w:style w:type="character" w:customStyle="1" w:styleId="CommentSubjectChar">
    <w:name w:val="Comment Subject Char"/>
    <w:basedOn w:val="CommentTextChar"/>
    <w:link w:val="CommentSubject"/>
    <w:uiPriority w:val="99"/>
    <w:semiHidden/>
    <w:rsid w:val="009F6240"/>
    <w:rPr>
      <w:rFonts w:ascii="Times New Roman" w:hAnsi="Times New Roman"/>
      <w:b/>
      <w:bCs/>
      <w:sz w:val="20"/>
      <w:szCs w:val="20"/>
    </w:rPr>
  </w:style>
  <w:style w:type="paragraph" w:styleId="BalloonText">
    <w:name w:val="Balloon Text"/>
    <w:basedOn w:val="Normal"/>
    <w:link w:val="BalloonTextChar"/>
    <w:uiPriority w:val="99"/>
    <w:semiHidden/>
    <w:unhideWhenUsed/>
    <w:rsid w:val="009F6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240"/>
    <w:rPr>
      <w:rFonts w:ascii="Segoe UI" w:hAnsi="Segoe UI" w:cs="Segoe UI"/>
      <w:sz w:val="18"/>
      <w:szCs w:val="18"/>
    </w:rPr>
  </w:style>
  <w:style w:type="character" w:customStyle="1" w:styleId="Style1Char">
    <w:name w:val="Style1 Char"/>
    <w:basedOn w:val="DefaultParagraphFont"/>
    <w:link w:val="Style1"/>
    <w:rsid w:val="00C11848"/>
    <w:rPr>
      <w:rFonts w:ascii="Times New Roman" w:eastAsia="Times New Roman" w:hAnsi="Times New Roman" w:cs="Times New Roman"/>
      <w:sz w:val="24"/>
      <w:szCs w:val="24"/>
    </w:rPr>
  </w:style>
  <w:style w:type="character" w:customStyle="1" w:styleId="1stlevelheadingChar">
    <w:name w:val="1st level (heading) Char"/>
    <w:basedOn w:val="DefaultParagraphFont"/>
    <w:link w:val="1stlevelheading"/>
    <w:uiPriority w:val="1"/>
    <w:rsid w:val="00C11848"/>
    <w:rPr>
      <w:rFonts w:ascii="Times New Roman" w:eastAsia="Times New Roman" w:hAnsi="Times New Roman" w:cs="Times New Roman"/>
      <w:b/>
      <w:caps/>
      <w:spacing w:val="20"/>
      <w:sz w:val="24"/>
      <w:szCs w:val="24"/>
      <w:lang w:val="en-GB"/>
    </w:rPr>
  </w:style>
  <w:style w:type="paragraph" w:styleId="BodyTextIndent2">
    <w:name w:val="Body Text Indent 2"/>
    <w:basedOn w:val="Normal"/>
    <w:link w:val="BodyTextIndent2Char"/>
    <w:unhideWhenUsed/>
    <w:rsid w:val="00060BB5"/>
    <w:pPr>
      <w:suppressAutoHyphens/>
      <w:ind w:left="720"/>
    </w:pPr>
    <w:rPr>
      <w:rFonts w:eastAsia="Times New Roman" w:cs="Times New Roman"/>
      <w:sz w:val="24"/>
      <w:szCs w:val="20"/>
      <w:lang w:val="en-GB" w:eastAsia="ar-SA"/>
    </w:rPr>
  </w:style>
  <w:style w:type="character" w:customStyle="1" w:styleId="BodyTextIndent2Char">
    <w:name w:val="Body Text Indent 2 Char"/>
    <w:basedOn w:val="DefaultParagraphFont"/>
    <w:link w:val="BodyTextIndent2"/>
    <w:rsid w:val="00060BB5"/>
    <w:rPr>
      <w:rFonts w:ascii="Times New Roman" w:eastAsia="Times New Roman" w:hAnsi="Times New Roman" w:cs="Times New Roman"/>
      <w:sz w:val="24"/>
      <w:szCs w:val="20"/>
      <w:lang w:val="en-GB" w:eastAsia="ar-SA"/>
    </w:rPr>
  </w:style>
  <w:style w:type="character" w:customStyle="1" w:styleId="Heading4Char">
    <w:name w:val="Heading 4 Char"/>
    <w:basedOn w:val="DefaultParagraphFont"/>
    <w:link w:val="Heading4"/>
    <w:uiPriority w:val="9"/>
    <w:semiHidden/>
    <w:rsid w:val="004420C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rsid w:val="00291BB9"/>
    <w:pPr>
      <w:ind w:left="720"/>
      <w:contextualSpacing/>
    </w:pPr>
  </w:style>
  <w:style w:type="character" w:customStyle="1" w:styleId="fontstyle01">
    <w:name w:val="fontstyle01"/>
    <w:basedOn w:val="DefaultParagraphFont"/>
    <w:rsid w:val="00886CA4"/>
    <w:rPr>
      <w:rFonts w:ascii="Calibri-Bold" w:hAnsi="Calibri-Bold" w:hint="default"/>
      <w:b/>
      <w:bCs/>
      <w:i w:val="0"/>
      <w:iCs w:val="0"/>
      <w:color w:val="000000"/>
      <w:sz w:val="18"/>
      <w:szCs w:val="18"/>
    </w:rPr>
  </w:style>
  <w:style w:type="paragraph" w:styleId="Revision">
    <w:name w:val="Revision"/>
    <w:hidden/>
    <w:uiPriority w:val="99"/>
    <w:semiHidden/>
    <w:rsid w:val="004C454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81511016">
      <w:bodyDiv w:val="1"/>
      <w:marLeft w:val="0"/>
      <w:marRight w:val="0"/>
      <w:marTop w:val="0"/>
      <w:marBottom w:val="0"/>
      <w:divBdr>
        <w:top w:val="none" w:sz="0" w:space="0" w:color="auto"/>
        <w:left w:val="none" w:sz="0" w:space="0" w:color="auto"/>
        <w:bottom w:val="none" w:sz="0" w:space="0" w:color="auto"/>
        <w:right w:val="none" w:sz="0" w:space="0" w:color="auto"/>
      </w:divBdr>
    </w:div>
    <w:div w:id="15741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BEF0CFB7D2A45A397E4A589EF6752" ma:contentTypeVersion="18" ma:contentTypeDescription="Create a new document." ma:contentTypeScope="" ma:versionID="1ee533660650957d6cffc14cca6a442a">
  <xsd:schema xmlns:xsd="http://www.w3.org/2001/XMLSchema" xmlns:xs="http://www.w3.org/2001/XMLSchema" xmlns:p="http://schemas.microsoft.com/office/2006/metadata/properties" xmlns:ns2="c4de6b91-d9bc-4e97-a2d2-8cc0f4100b95" xmlns:ns3="0416a8ff-6859-4b24-9a9a-b4fba511d97e" targetNamespace="http://schemas.microsoft.com/office/2006/metadata/properties" ma:root="true" ma:fieldsID="e7881f5eb2f3f18b8dfd47afd8e01375" ns2:_="" ns3:_="">
    <xsd:import namespace="c4de6b91-d9bc-4e97-a2d2-8cc0f4100b95"/>
    <xsd:import namespace="0416a8ff-6859-4b24-9a9a-b4fba511d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e6b91-d9bc-4e97-a2d2-8cc0f4100b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3de716-6098-4a34-b7fe-b593572a6f86}" ma:internalName="TaxCatchAll" ma:showField="CatchAllData" ma:web="c4de6b91-d9bc-4e97-a2d2-8cc0f4100b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6a8ff-6859-4b24-9a9a-b4fba511d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c45950-b0dd-4bc8-b256-25c5ace523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de6b91-d9bc-4e97-a2d2-8cc0f4100b95" xsi:nil="true"/>
    <lcf76f155ced4ddcb4097134ff3c332f xmlns="0416a8ff-6859-4b24-9a9a-b4fba511d9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1D68D-4334-4513-9991-F0D7C1CDB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e6b91-d9bc-4e97-a2d2-8cc0f4100b95"/>
    <ds:schemaRef ds:uri="0416a8ff-6859-4b24-9a9a-b4fba511d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B6F14-C235-1640-875F-4E2470F3C923}">
  <ds:schemaRefs>
    <ds:schemaRef ds:uri="http://schemas.openxmlformats.org/officeDocument/2006/bibliography"/>
  </ds:schemaRefs>
</ds:datastoreItem>
</file>

<file path=customXml/itemProps3.xml><?xml version="1.0" encoding="utf-8"?>
<ds:datastoreItem xmlns:ds="http://schemas.openxmlformats.org/officeDocument/2006/customXml" ds:itemID="{5F6CF8B6-1932-4047-8163-B783EC67A3AE}">
  <ds:schemaRefs>
    <ds:schemaRef ds:uri="http://schemas.microsoft.com/sharepoint/v3/contenttype/forms"/>
  </ds:schemaRefs>
</ds:datastoreItem>
</file>

<file path=customXml/itemProps4.xml><?xml version="1.0" encoding="utf-8"?>
<ds:datastoreItem xmlns:ds="http://schemas.openxmlformats.org/officeDocument/2006/customXml" ds:itemID="{0DAA7600-4299-4222-BC08-172B8DC94EBC}">
  <ds:schemaRefs>
    <ds:schemaRef ds:uri="http://schemas.microsoft.com/office/2006/metadata/properties"/>
    <ds:schemaRef ds:uri="http://schemas.microsoft.com/office/infopath/2007/PartnerControls"/>
    <ds:schemaRef ds:uri="c4de6b91-d9bc-4e97-a2d2-8cc0f4100b95"/>
    <ds:schemaRef ds:uri="0416a8ff-6859-4b24-9a9a-b4fba511d9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14951</Characters>
  <Application>Microsoft Office Word</Application>
  <DocSecurity>4</DocSecurity>
  <PresentationFormat/>
  <Lines>124</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Kalmer Kroonberg</dc:creator>
  <cp:keywords/>
  <dc:description/>
  <cp:lastModifiedBy>Tiia Aasaru</cp:lastModifiedBy>
  <cp:revision>2</cp:revision>
  <cp:lastPrinted>2026-01-26T07:12:00Z</cp:lastPrinted>
  <dcterms:created xsi:type="dcterms:W3CDTF">2026-01-26T07:42:00Z</dcterms:created>
  <dcterms:modified xsi:type="dcterms:W3CDTF">2026-01-26T07:42:00Z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0x010100AD4BEF0CFB7D2A45A397E4A589EF6752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2026-01-15T12:32:02Z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b8a9f149-cd37-4e61-90c6-d34db1e45ce1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